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CD1AE" w14:textId="5F7E577E" w:rsidR="003B304B" w:rsidRPr="00713E72" w:rsidRDefault="003B304B" w:rsidP="003B304B">
      <w:pPr>
        <w:pStyle w:val="CRCoverPage"/>
        <w:tabs>
          <w:tab w:val="right" w:pos="9639"/>
        </w:tabs>
        <w:spacing w:after="0"/>
        <w:rPr>
          <w:rFonts w:cs="Arial"/>
          <w:b/>
          <w:i/>
          <w:noProof/>
          <w:sz w:val="24"/>
          <w:szCs w:val="24"/>
          <w:lang w:eastAsia="zh-CN"/>
        </w:rPr>
      </w:pPr>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27</w:t>
      </w:r>
      <w:r w:rsidRPr="00381145">
        <w:rPr>
          <w:rFonts w:cs="Arial"/>
          <w:b/>
          <w:noProof/>
          <w:sz w:val="24"/>
          <w:szCs w:val="24"/>
          <w:lang w:eastAsia="zh-CN"/>
        </w:rPr>
        <w:tab/>
      </w:r>
      <w:bookmarkStart w:id="0" w:name="_GoBack"/>
      <w:r w:rsidR="00713E72" w:rsidRPr="00713E72">
        <w:rPr>
          <w:rFonts w:cs="Arial"/>
          <w:b/>
          <w:i/>
          <w:noProof/>
          <w:sz w:val="24"/>
          <w:szCs w:val="24"/>
          <w:lang w:eastAsia="zh-CN"/>
        </w:rPr>
        <w:t>R2-2407306</w:t>
      </w:r>
    </w:p>
    <w:p w14:paraId="6444BB41" w14:textId="77777777" w:rsidR="003B304B" w:rsidRDefault="003B304B" w:rsidP="003B304B">
      <w:pPr>
        <w:tabs>
          <w:tab w:val="left" w:pos="1985"/>
          <w:tab w:val="right" w:pos="9639"/>
        </w:tabs>
        <w:spacing w:after="100" w:afterAutospacing="1"/>
        <w:rPr>
          <w:rFonts w:ascii="Arial" w:hAnsi="Arial" w:cs="Arial"/>
          <w:b/>
          <w:noProof/>
          <w:szCs w:val="22"/>
        </w:rPr>
      </w:pPr>
      <w:bookmarkStart w:id="1" w:name="_Hlk173347113"/>
      <w:bookmarkEnd w:id="0"/>
      <w:r w:rsidRPr="005548EB">
        <w:rPr>
          <w:rFonts w:ascii="Arial" w:hAnsi="Arial" w:cs="Arial"/>
          <w:b/>
          <w:noProof/>
          <w:sz w:val="24"/>
          <w:szCs w:val="24"/>
        </w:rPr>
        <w:t>Maastricht, Netherlands, 19 - 23 August 2024</w:t>
      </w:r>
      <w:bookmarkEnd w:id="1"/>
    </w:p>
    <w:p w14:paraId="5312B88E" w14:textId="572FF22E"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w:t>
      </w:r>
      <w:r w:rsidR="00E718C6">
        <w:rPr>
          <w:rFonts w:ascii="Arial" w:eastAsia="MS Mincho" w:hAnsi="Arial" w:cs="Arial"/>
          <w:b/>
          <w:bCs/>
          <w:sz w:val="24"/>
          <w:lang w:val="en-GB" w:eastAsia="en-US"/>
        </w:rPr>
        <w:t>8</w:t>
      </w:r>
      <w:r w:rsidR="004B70D7">
        <w:rPr>
          <w:rFonts w:ascii="Arial" w:eastAsia="MS Mincho" w:hAnsi="Arial" w:cs="Arial"/>
          <w:b/>
          <w:bCs/>
          <w:sz w:val="24"/>
          <w:lang w:val="en-GB" w:eastAsia="en-US"/>
        </w:rPr>
        <w:t>.</w:t>
      </w:r>
      <w:r w:rsidR="00E718C6">
        <w:rPr>
          <w:rFonts w:ascii="Arial" w:eastAsia="MS Mincho" w:hAnsi="Arial" w:cs="Arial"/>
          <w:b/>
          <w:bCs/>
          <w:sz w:val="24"/>
          <w:lang w:val="en-GB" w:eastAsia="en-US"/>
        </w:rPr>
        <w:t>2</w:t>
      </w:r>
    </w:p>
    <w:p w14:paraId="103EF6E1" w14:textId="72D004CD"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6347EA">
        <w:rPr>
          <w:rFonts w:ascii="Arial" w:hAnsi="Arial" w:cs="Arial"/>
          <w:b/>
          <w:sz w:val="24"/>
          <w:lang w:val="en-GB"/>
        </w:rPr>
        <w:t xml:space="preserve">, </w:t>
      </w:r>
      <w:proofErr w:type="spellStart"/>
      <w:r w:rsidR="006347EA">
        <w:rPr>
          <w:rFonts w:ascii="Arial" w:hAnsi="Arial" w:cs="Arial"/>
          <w:b/>
          <w:sz w:val="24"/>
          <w:lang w:val="en-GB"/>
        </w:rPr>
        <w:t>Turkcell</w:t>
      </w:r>
      <w:proofErr w:type="spellEnd"/>
    </w:p>
    <w:p w14:paraId="5A91E0AA" w14:textId="6C9D9BC4"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718C6" w:rsidRPr="00E718C6">
        <w:rPr>
          <w:rFonts w:ascii="Arial" w:hAnsi="Arial" w:cs="Arial"/>
          <w:b/>
          <w:sz w:val="24"/>
          <w:lang w:val="en-GB"/>
        </w:rPr>
        <w:t>Discussion on DL coverage enhancements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4324D930" w:rsidR="002C5E30" w:rsidRPr="00B222AE" w:rsidRDefault="006347EA" w:rsidP="00C80C78">
      <w:pPr>
        <w:spacing w:line="240" w:lineRule="auto"/>
        <w:rPr>
          <w:rFonts w:eastAsiaTheme="minorEastAsia"/>
          <w:bCs/>
          <w:szCs w:val="22"/>
        </w:rPr>
      </w:pPr>
      <w:r>
        <w:rPr>
          <w:rFonts w:eastAsiaTheme="minorEastAsia"/>
        </w:rPr>
        <w:t>In</w:t>
      </w:r>
      <w:r w:rsidR="00A83106">
        <w:rPr>
          <w:rFonts w:eastAsiaTheme="minorEastAsia"/>
        </w:rPr>
        <w:t xml:space="preserve"> RAN plenary #10</w:t>
      </w:r>
      <w:r w:rsidR="003C456B">
        <w:rPr>
          <w:rFonts w:eastAsiaTheme="minorEastAsia"/>
        </w:rPr>
        <w:t>4</w:t>
      </w:r>
      <w:r w:rsidR="00A83106">
        <w:rPr>
          <w:rFonts w:eastAsiaTheme="minorEastAsia"/>
        </w:rPr>
        <w:t xml:space="preserve"> meeting, </w:t>
      </w:r>
      <w:r w:rsidR="002C5E30">
        <w:rPr>
          <w:rFonts w:eastAsiaTheme="minorEastAsia"/>
          <w:bCs/>
          <w:szCs w:val="22"/>
        </w:rPr>
        <w:t xml:space="preserve">the </w:t>
      </w:r>
      <w:r w:rsidR="003C456B">
        <w:rPr>
          <w:rFonts w:eastAsiaTheme="minorEastAsia"/>
          <w:bCs/>
          <w:szCs w:val="22"/>
        </w:rPr>
        <w:t>revision</w:t>
      </w:r>
      <w:r>
        <w:rPr>
          <w:rFonts w:eastAsiaTheme="minorEastAsia"/>
          <w:bCs/>
          <w:szCs w:val="22"/>
        </w:rPr>
        <w:t>s</w:t>
      </w:r>
      <w:r w:rsidR="003C456B">
        <w:rPr>
          <w:rFonts w:eastAsiaTheme="minorEastAsia"/>
          <w:bCs/>
          <w:szCs w:val="22"/>
        </w:rPr>
        <w:t xml:space="preserve"> </w:t>
      </w:r>
      <w:r>
        <w:rPr>
          <w:rFonts w:eastAsiaTheme="minorEastAsia"/>
          <w:bCs/>
          <w:szCs w:val="22"/>
        </w:rPr>
        <w:t xml:space="preserve">to </w:t>
      </w:r>
      <w:r w:rsidR="003C456B">
        <w:rPr>
          <w:rFonts w:eastAsiaTheme="minorEastAsia"/>
          <w:bCs/>
          <w:szCs w:val="22"/>
        </w:rPr>
        <w:t xml:space="preserve">the objective </w:t>
      </w:r>
      <w:r w:rsidR="003C456B">
        <w:rPr>
          <w:rFonts w:eastAsiaTheme="minorEastAsia" w:hint="eastAsia"/>
          <w:bCs/>
          <w:szCs w:val="22"/>
        </w:rPr>
        <w:t>of</w:t>
      </w:r>
      <w:r w:rsidR="003C456B">
        <w:rPr>
          <w:rFonts w:eastAsiaTheme="minorEastAsia"/>
          <w:bCs/>
          <w:szCs w:val="22"/>
        </w:rPr>
        <w:t xml:space="preserve"> DL coverage enhancements </w:t>
      </w:r>
      <w:r w:rsidR="009445B1">
        <w:rPr>
          <w:rFonts w:eastAsiaTheme="minorEastAsia"/>
          <w:bCs/>
          <w:szCs w:val="22"/>
        </w:rPr>
        <w:t>were agreed</w:t>
      </w:r>
      <w:r w:rsidR="00F52B5A">
        <w:rPr>
          <w:rFonts w:eastAsiaTheme="minorEastAsia"/>
          <w:bCs/>
          <w:szCs w:val="22"/>
        </w:rPr>
        <w:t xml:space="preserve"> </w:t>
      </w:r>
      <w:r w:rsidR="00F52B5A">
        <w:rPr>
          <w:rFonts w:eastAsiaTheme="minorEastAsia"/>
          <w:bCs/>
          <w:szCs w:val="22"/>
        </w:rPr>
        <w:fldChar w:fldCharType="begin"/>
      </w:r>
      <w:r w:rsidR="00F52B5A">
        <w:rPr>
          <w:rFonts w:eastAsiaTheme="minorEastAsia"/>
          <w:bCs/>
          <w:szCs w:val="22"/>
        </w:rPr>
        <w:instrText xml:space="preserve"> REF _Ref173907065 \r \h </w:instrText>
      </w:r>
      <w:r w:rsidR="00F52B5A">
        <w:rPr>
          <w:rFonts w:eastAsiaTheme="minorEastAsia"/>
          <w:bCs/>
          <w:szCs w:val="22"/>
        </w:rPr>
      </w:r>
      <w:r w:rsidR="00F52B5A">
        <w:rPr>
          <w:rFonts w:eastAsiaTheme="minorEastAsia"/>
          <w:bCs/>
          <w:szCs w:val="22"/>
        </w:rPr>
        <w:fldChar w:fldCharType="separate"/>
      </w:r>
      <w:r w:rsidR="00F52B5A">
        <w:rPr>
          <w:rFonts w:eastAsiaTheme="minorEastAsia"/>
          <w:bCs/>
          <w:szCs w:val="22"/>
        </w:rPr>
        <w:t>[1]</w:t>
      </w:r>
      <w:r w:rsidR="00F52B5A">
        <w:rPr>
          <w:rFonts w:eastAsiaTheme="minorEastAsia"/>
          <w:bCs/>
          <w:szCs w:val="22"/>
        </w:rPr>
        <w:fldChar w:fldCharType="end"/>
      </w:r>
      <w:r w:rsidR="00A83106">
        <w:rPr>
          <w:rFonts w:eastAsiaTheme="minorEastAsia" w:hint="eastAsia"/>
          <w:bCs/>
          <w:szCs w:val="22"/>
        </w:rPr>
        <w:t>:</w:t>
      </w:r>
      <w:r w:rsidR="00A83106">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287DB9B5" w14:textId="77777777" w:rsidR="003C456B" w:rsidRPr="009431DD" w:rsidRDefault="003C456B" w:rsidP="003C456B">
            <w:pPr>
              <w:numPr>
                <w:ilvl w:val="0"/>
                <w:numId w:val="22"/>
              </w:numPr>
              <w:spacing w:after="0" w:line="276" w:lineRule="auto"/>
              <w:jc w:val="left"/>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7A4A2AC5" w14:textId="77777777" w:rsidR="003C456B" w:rsidRPr="00F8147E" w:rsidRDefault="003C456B" w:rsidP="003C456B">
            <w:pPr>
              <w:pStyle w:val="af5"/>
              <w:numPr>
                <w:ilvl w:val="0"/>
                <w:numId w:val="23"/>
              </w:numPr>
              <w:overflowPunct/>
              <w:autoSpaceDE/>
              <w:autoSpaceDN/>
              <w:adjustRightInd/>
              <w:spacing w:after="0" w:line="276" w:lineRule="auto"/>
              <w:ind w:firstLineChars="0"/>
              <w:contextualSpacing/>
              <w:textAlignment w:val="auto"/>
              <w:rPr>
                <w:sz w:val="20"/>
              </w:rPr>
            </w:pPr>
            <w:r w:rsidRPr="00F8147E">
              <w:rPr>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57CC7E" w14:textId="77777777" w:rsidR="003C456B" w:rsidRPr="00F8147E" w:rsidRDefault="003C456B" w:rsidP="003C456B">
            <w:pPr>
              <w:pStyle w:val="af5"/>
              <w:numPr>
                <w:ilvl w:val="0"/>
                <w:numId w:val="23"/>
              </w:numPr>
              <w:overflowPunct/>
              <w:autoSpaceDE/>
              <w:autoSpaceDN/>
              <w:adjustRightInd/>
              <w:spacing w:after="0" w:line="276" w:lineRule="auto"/>
              <w:ind w:firstLineChars="0"/>
              <w:contextualSpacing/>
              <w:textAlignment w:val="auto"/>
              <w:rPr>
                <w:sz w:val="20"/>
              </w:rPr>
            </w:pPr>
            <w:r w:rsidRPr="00F8147E">
              <w:rPr>
                <w:sz w:val="20"/>
              </w:rPr>
              <w:t xml:space="preserve">Define the corresponding </w:t>
            </w:r>
            <w:r w:rsidRPr="00F8473D">
              <w:rPr>
                <w:sz w:val="20"/>
              </w:rPr>
              <w:t>power sharing assumptions</w:t>
            </w:r>
            <w:r w:rsidRPr="00F8147E">
              <w:rPr>
                <w:sz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54CBA3D" w14:textId="77777777" w:rsidR="003C456B" w:rsidRDefault="003C456B" w:rsidP="003C456B">
            <w:pPr>
              <w:pStyle w:val="af5"/>
              <w:numPr>
                <w:ilvl w:val="0"/>
                <w:numId w:val="23"/>
              </w:numPr>
              <w:overflowPunct/>
              <w:autoSpaceDE/>
              <w:autoSpaceDN/>
              <w:adjustRightInd/>
              <w:spacing w:after="0" w:line="276" w:lineRule="auto"/>
              <w:ind w:firstLineChars="0"/>
              <w:contextualSpacing/>
              <w:textAlignment w:val="auto"/>
              <w:rPr>
                <w:sz w:val="20"/>
              </w:rPr>
            </w:pPr>
            <w:r w:rsidRPr="00F8147E">
              <w:rPr>
                <w:sz w:val="20"/>
              </w:rPr>
              <w:t xml:space="preserve">Study and </w:t>
            </w:r>
            <w:r w:rsidRPr="00D91AC5">
              <w:rPr>
                <w:sz w:val="20"/>
              </w:rPr>
              <w:t xml:space="preserve">if needed </w:t>
            </w:r>
            <w:r w:rsidRPr="00F8147E">
              <w:rPr>
                <w:sz w:val="20"/>
              </w:rPr>
              <w:t xml:space="preserve">specify solutions, including link level enhancements </w:t>
            </w:r>
            <w:r w:rsidRPr="00D91AC5">
              <w:rPr>
                <w:sz w:val="20"/>
              </w:rPr>
              <w:t xml:space="preserve">for FR1-NTN </w:t>
            </w:r>
            <w:r w:rsidRPr="00F8147E">
              <w:rPr>
                <w:sz w:val="20"/>
              </w:rPr>
              <w:t>(e.g. for PDCCH, PDSCH) and/or system level enhancements</w:t>
            </w:r>
            <w:r w:rsidRPr="00D91AC5">
              <w:rPr>
                <w:sz w:val="20"/>
              </w:rPr>
              <w:t xml:space="preserve"> for FR1-NTN and/or FR2-NTN</w:t>
            </w:r>
            <w:r w:rsidRPr="00F8147E">
              <w:rPr>
                <w:sz w:val="20"/>
              </w:rPr>
              <w:t xml:space="preserve">, allowing dynamic and flexible </w:t>
            </w:r>
            <w:r w:rsidRPr="00F92063">
              <w:rPr>
                <w:sz w:val="20"/>
              </w:rPr>
              <w:t>power sharing between satellite beams or different satellite beam patterns/size (i.e. wide or narrow) across the satellite footprint.</w:t>
            </w:r>
          </w:p>
          <w:p w14:paraId="4B91A667" w14:textId="77777777" w:rsidR="003C456B" w:rsidRP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highlight w:val="yellow"/>
              </w:rPr>
            </w:pPr>
            <w:r w:rsidRPr="003C456B">
              <w:rPr>
                <w:sz w:val="20"/>
                <w:highlight w:val="yellow"/>
              </w:rPr>
              <w:t>RAN1 to report at the latest by RAN#106 with the list of targeted physical channels/signals for link level enhancements (if any), and with the targeted system-level enhancements (if any)</w:t>
            </w:r>
          </w:p>
          <w:p w14:paraId="2DA99B01" w14:textId="77777777" w:rsidR="003C456B" w:rsidRP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highlight w:val="yellow"/>
              </w:rPr>
            </w:pPr>
            <w:r w:rsidRPr="003C456B">
              <w:rPr>
                <w:sz w:val="20"/>
                <w:highlight w:val="yellow"/>
              </w:rPr>
              <w:t>RAN1 should report on impact to backward compatibility, if any, for potential extension of the SSB periodicity at the latest by RAN#106, in conjunction with the targeted system-level enhancements.</w:t>
            </w:r>
          </w:p>
          <w:p w14:paraId="5EAC4A2E" w14:textId="77777777" w:rsidR="003C456B" w:rsidRPr="003F3481" w:rsidRDefault="003C456B" w:rsidP="003C456B">
            <w:pPr>
              <w:pStyle w:val="af5"/>
              <w:numPr>
                <w:ilvl w:val="0"/>
                <w:numId w:val="23"/>
              </w:numPr>
              <w:overflowPunct/>
              <w:autoSpaceDE/>
              <w:autoSpaceDN/>
              <w:adjustRightInd/>
              <w:spacing w:after="0" w:line="276" w:lineRule="auto"/>
              <w:ind w:firstLineChars="0"/>
              <w:contextualSpacing/>
              <w:textAlignment w:val="auto"/>
              <w:rPr>
                <w:sz w:val="20"/>
              </w:rPr>
            </w:pPr>
            <w:r w:rsidRPr="003F3481">
              <w:rPr>
                <w:sz w:val="20"/>
              </w:rPr>
              <w:t xml:space="preserve">Notes for </w:t>
            </w:r>
            <w:r>
              <w:rPr>
                <w:sz w:val="20"/>
              </w:rPr>
              <w:t>this objective</w:t>
            </w:r>
            <w:r w:rsidRPr="003F3481">
              <w:rPr>
                <w:sz w:val="20"/>
              </w:rPr>
              <w:t>:</w:t>
            </w:r>
          </w:p>
          <w:p w14:paraId="12A6B83B" w14:textId="77777777" w:rsid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rPr>
            </w:pPr>
            <w:r w:rsidRPr="00F8147E">
              <w:rPr>
                <w:sz w:val="20"/>
              </w:rPr>
              <w:t xml:space="preserve">SSB channel enhancement </w:t>
            </w:r>
            <w:r w:rsidRPr="003C456B">
              <w:rPr>
                <w:sz w:val="20"/>
                <w:highlight w:val="yellow"/>
              </w:rPr>
              <w:t>other than SSB periodicity extension</w:t>
            </w:r>
            <w:r w:rsidRPr="00C44E27">
              <w:rPr>
                <w:sz w:val="20"/>
              </w:rPr>
              <w:t xml:space="preserve"> </w:t>
            </w:r>
            <w:r w:rsidRPr="00F8147E">
              <w:rPr>
                <w:sz w:val="20"/>
              </w:rPr>
              <w:t>is not considered</w:t>
            </w:r>
          </w:p>
          <w:p w14:paraId="20F66A08" w14:textId="77777777" w:rsidR="003C456B" w:rsidRPr="003C456B" w:rsidRDefault="003C456B" w:rsidP="003C456B">
            <w:pPr>
              <w:pStyle w:val="af5"/>
              <w:numPr>
                <w:ilvl w:val="2"/>
                <w:numId w:val="23"/>
              </w:numPr>
              <w:overflowPunct/>
              <w:autoSpaceDE/>
              <w:autoSpaceDN/>
              <w:adjustRightInd/>
              <w:spacing w:after="0" w:line="276" w:lineRule="auto"/>
              <w:ind w:firstLineChars="0"/>
              <w:contextualSpacing/>
              <w:textAlignment w:val="auto"/>
              <w:rPr>
                <w:sz w:val="20"/>
                <w:highlight w:val="yellow"/>
              </w:rPr>
            </w:pPr>
            <w:r w:rsidRPr="003C456B">
              <w:rPr>
                <w:sz w:val="20"/>
                <w:highlight w:val="yellow"/>
              </w:rPr>
              <w:t>RAN1 should consider issues such as UE’s cell search complexity and impact to initial cell selection, latency and success rate, for the above extension</w:t>
            </w:r>
          </w:p>
          <w:p w14:paraId="284E6A08" w14:textId="77777777" w:rsidR="003C456B" w:rsidRP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highlight w:val="yellow"/>
              </w:rPr>
            </w:pPr>
            <w:r w:rsidRPr="003C456B">
              <w:rPr>
                <w:sz w:val="20"/>
                <w:highlight w:val="yellow"/>
              </w:rPr>
              <w:t>The SSB periodicity enhancements potentially defined in this WID only apply to NTN operation</w:t>
            </w:r>
          </w:p>
          <w:p w14:paraId="6346866D" w14:textId="77777777" w:rsidR="003C456B" w:rsidRPr="00F8147E" w:rsidRDefault="003C456B" w:rsidP="003C456B">
            <w:pPr>
              <w:pStyle w:val="af5"/>
              <w:numPr>
                <w:ilvl w:val="1"/>
                <w:numId w:val="23"/>
              </w:numPr>
              <w:overflowPunct/>
              <w:autoSpaceDE/>
              <w:autoSpaceDN/>
              <w:adjustRightInd/>
              <w:spacing w:after="0" w:line="276" w:lineRule="auto"/>
              <w:ind w:firstLineChars="0"/>
              <w:contextualSpacing/>
              <w:textAlignment w:val="auto"/>
              <w:rPr>
                <w:sz w:val="20"/>
              </w:rPr>
            </w:pPr>
            <w:r w:rsidRPr="00F8147E">
              <w:rPr>
                <w:sz w:val="20"/>
              </w:rPr>
              <w:t>Antenna gain of UE shall be assumed to be -5.5dBi</w:t>
            </w:r>
            <w:r w:rsidRPr="00D91AC5">
              <w:rPr>
                <w:sz w:val="20"/>
              </w:rPr>
              <w:t xml:space="preserve"> in case of smartphone in FR1-NTN</w:t>
            </w:r>
            <w:r w:rsidRPr="00F8147E">
              <w:rPr>
                <w:sz w:val="20"/>
              </w:rPr>
              <w:t xml:space="preserve">, </w:t>
            </w:r>
            <w:r w:rsidRPr="00D91AC5">
              <w:rPr>
                <w:sz w:val="20"/>
              </w:rPr>
              <w:t xml:space="preserve">the UE is assumed to be a full duplex UE, </w:t>
            </w:r>
            <w:r w:rsidRPr="00F8147E">
              <w:rPr>
                <w:sz w:val="20"/>
              </w:rPr>
              <w:t>and at least 2Rx are considered at the UE</w:t>
            </w:r>
          </w:p>
          <w:p w14:paraId="239FF56A" w14:textId="77777777" w:rsid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rPr>
            </w:pPr>
            <w:r w:rsidRPr="00F8147E">
              <w:rPr>
                <w:sz w:val="20"/>
              </w:rPr>
              <w:t>NGSO to be considered in priority: LEO Set-1 @ 600 km</w:t>
            </w:r>
          </w:p>
          <w:p w14:paraId="5618D393" w14:textId="387AC72B" w:rsidR="001B75B4" w:rsidRPr="003C456B" w:rsidRDefault="003C456B" w:rsidP="003C456B">
            <w:pPr>
              <w:pStyle w:val="af5"/>
              <w:numPr>
                <w:ilvl w:val="1"/>
                <w:numId w:val="23"/>
              </w:numPr>
              <w:overflowPunct/>
              <w:autoSpaceDE/>
              <w:autoSpaceDN/>
              <w:adjustRightInd/>
              <w:spacing w:after="0" w:line="276" w:lineRule="auto"/>
              <w:ind w:firstLineChars="0"/>
              <w:contextualSpacing/>
              <w:textAlignment w:val="auto"/>
              <w:rPr>
                <w:sz w:val="20"/>
              </w:rPr>
            </w:pPr>
            <w:r w:rsidRPr="00D91AC5">
              <w:rPr>
                <w:sz w:val="20"/>
              </w:rPr>
              <w:lastRenderedPageBreak/>
              <w:t>Rel-18 network energy saving techniques should be considered as baseline in the system level study</w:t>
            </w:r>
          </w:p>
        </w:tc>
      </w:tr>
    </w:tbl>
    <w:p w14:paraId="2FB39104" w14:textId="31FCD49C" w:rsidR="0088640C" w:rsidRDefault="003C456B" w:rsidP="00220505">
      <w:pPr>
        <w:spacing w:before="180" w:line="240" w:lineRule="auto"/>
        <w:contextualSpacing/>
      </w:pPr>
      <w:r>
        <w:lastRenderedPageBreak/>
        <w:t xml:space="preserve">RAN2#126 </w:t>
      </w:r>
      <w:r>
        <w:rPr>
          <w:rFonts w:hint="eastAsia"/>
        </w:rPr>
        <w:t>has</w:t>
      </w:r>
      <w:r>
        <w:t xml:space="preserve"> reached the </w:t>
      </w:r>
      <w:r w:rsidR="0088640C">
        <w:t xml:space="preserve">following </w:t>
      </w:r>
      <w:r>
        <w:t>agreements</w:t>
      </w:r>
      <w:r w:rsidR="0088640C">
        <w:t>:</w:t>
      </w:r>
    </w:p>
    <w:p w14:paraId="393C3A7B" w14:textId="77777777" w:rsidR="0088640C" w:rsidRDefault="0088640C" w:rsidP="0088640C">
      <w:pPr>
        <w:pStyle w:val="Doc-text2"/>
        <w:pBdr>
          <w:top w:val="single" w:sz="4" w:space="1" w:color="auto"/>
          <w:left w:val="single" w:sz="4" w:space="4" w:color="auto"/>
          <w:bottom w:val="single" w:sz="4" w:space="1" w:color="auto"/>
          <w:right w:val="single" w:sz="4" w:space="4" w:color="auto"/>
        </w:pBdr>
      </w:pPr>
      <w:r>
        <w:t>Agreements;</w:t>
      </w:r>
    </w:p>
    <w:p w14:paraId="569C5461" w14:textId="77777777" w:rsidR="0088640C" w:rsidRDefault="0088640C" w:rsidP="0088640C">
      <w:pPr>
        <w:pStyle w:val="Doc-text2"/>
        <w:numPr>
          <w:ilvl w:val="0"/>
          <w:numId w:val="25"/>
        </w:numPr>
        <w:pBdr>
          <w:top w:val="single" w:sz="4" w:space="1" w:color="auto"/>
          <w:left w:val="single" w:sz="4" w:space="4" w:color="auto"/>
          <w:bottom w:val="single" w:sz="4" w:space="1" w:color="auto"/>
          <w:right w:val="single" w:sz="4" w:space="4" w:color="auto"/>
        </w:pBdr>
      </w:pPr>
      <w:r>
        <w:t xml:space="preserve">Based on the solution being investigated in RAN1, RAN2 will further discuss whether/how legacy UEs might operate in a cell supporting DL coverage enhancements. </w:t>
      </w:r>
    </w:p>
    <w:p w14:paraId="465DE2F5" w14:textId="77777777" w:rsidR="0088640C" w:rsidRPr="00A4294D" w:rsidRDefault="0088640C" w:rsidP="0088640C">
      <w:pPr>
        <w:pStyle w:val="Doc-text2"/>
        <w:numPr>
          <w:ilvl w:val="0"/>
          <w:numId w:val="25"/>
        </w:numPr>
        <w:pBdr>
          <w:top w:val="single" w:sz="4" w:space="1" w:color="auto"/>
          <w:left w:val="single" w:sz="4" w:space="4" w:color="auto"/>
          <w:bottom w:val="single" w:sz="4" w:space="1" w:color="auto"/>
          <w:right w:val="single" w:sz="4" w:space="4" w:color="auto"/>
        </w:pBdr>
      </w:pPr>
      <w:r>
        <w:t>RAN2 assumes that both EFC and EMC are supported</w:t>
      </w:r>
    </w:p>
    <w:p w14:paraId="74CBF82E" w14:textId="5E287264" w:rsidR="003C456B" w:rsidRDefault="0088640C" w:rsidP="00220505">
      <w:pPr>
        <w:spacing w:before="180" w:line="240" w:lineRule="auto"/>
        <w:contextualSpacing/>
      </w:pPr>
      <w:r>
        <w:rPr>
          <w:lang w:val="en-GB"/>
        </w:rPr>
        <w:t xml:space="preserve">In addition to the above agreements, RAN2 </w:t>
      </w:r>
      <w:r w:rsidR="006347EA">
        <w:rPr>
          <w:lang w:val="en-GB"/>
        </w:rPr>
        <w:t xml:space="preserve">also identified </w:t>
      </w:r>
      <w:r w:rsidR="00C92F43">
        <w:t xml:space="preserve">some </w:t>
      </w:r>
      <w:r>
        <w:rPr>
          <w:rFonts w:hint="eastAsia"/>
        </w:rPr>
        <w:t>critical</w:t>
      </w:r>
      <w:r>
        <w:t xml:space="preserve"> issues, </w:t>
      </w:r>
      <w:r>
        <w:rPr>
          <w:rFonts w:hint="eastAsia"/>
        </w:rPr>
        <w:t>on</w:t>
      </w:r>
      <w:r>
        <w:t xml:space="preserve"> which RAN2 seeks RAN1’s clarifications in LS [2] </w:t>
      </w:r>
      <w:r w:rsidR="00C92F43">
        <w:t xml:space="preserve">and RAN1’s replies will serve as the </w:t>
      </w:r>
      <w:r>
        <w:t xml:space="preserve">foundation for </w:t>
      </w:r>
      <w:r w:rsidR="00C92F43">
        <w:t xml:space="preserve">further </w:t>
      </w:r>
      <w:r w:rsidR="003C456B">
        <w:t>RAN2 discussion</w:t>
      </w:r>
      <w:r>
        <w:t xml:space="preserve">. </w:t>
      </w:r>
    </w:p>
    <w:p w14:paraId="0F8938C6" w14:textId="77777777" w:rsidR="006347EA" w:rsidRDefault="006347EA" w:rsidP="006347EA">
      <w:pPr>
        <w:pStyle w:val="Agreement"/>
        <w:numPr>
          <w:ilvl w:val="0"/>
          <w:numId w:val="26"/>
        </w:numPr>
      </w:pPr>
      <w:r w:rsidRPr="00D67F82">
        <w:t xml:space="preserve">Ask RAN1 </w:t>
      </w:r>
      <w:r>
        <w:t>to keep us informed on their progress on wh</w:t>
      </w:r>
      <w:r w:rsidRPr="00D67F82">
        <w:t>ether the existing SSB pattern for an NR cell (e.g. SSB position in burst, SSB index number, etc.) is changed in Rel-19 NR NTN, and whether the SSB periodicity is extended compared with existing TN values.</w:t>
      </w:r>
    </w:p>
    <w:p w14:paraId="3765C330" w14:textId="77777777" w:rsidR="0088640C" w:rsidRPr="008B4D8D" w:rsidRDefault="0088640C" w:rsidP="0088640C">
      <w:pPr>
        <w:pStyle w:val="Agreement"/>
        <w:numPr>
          <w:ilvl w:val="0"/>
          <w:numId w:val="26"/>
        </w:numPr>
      </w:pPr>
      <w:r>
        <w:t xml:space="preserve">More in general, ask RAN1 whether/how the solution they are investigating is expected to impact common control signalling for UEs in RRC idle / RRC inactive </w:t>
      </w:r>
    </w:p>
    <w:p w14:paraId="55FDC92D" w14:textId="320E1040" w:rsidR="0088640C" w:rsidRDefault="0088640C" w:rsidP="0088640C">
      <w:pPr>
        <w:pStyle w:val="Agreement"/>
        <w:numPr>
          <w:ilvl w:val="0"/>
          <w:numId w:val="26"/>
        </w:numPr>
      </w:pPr>
      <w:r>
        <w:t xml:space="preserve">Also remind RAN1 that satellite beams are currently not visible to UEs and any decision about different beam status will have to relate to beams visible to the UE (e.g. SSB beams) </w:t>
      </w:r>
    </w:p>
    <w:p w14:paraId="628AC70C" w14:textId="77777777" w:rsidR="0088640C" w:rsidRDefault="0088640C" w:rsidP="0088640C">
      <w:pPr>
        <w:pStyle w:val="Agreement"/>
        <w:numPr>
          <w:ilvl w:val="0"/>
          <w:numId w:val="26"/>
        </w:numPr>
      </w:pPr>
      <w:r>
        <w:t>Also ask RAN1 w</w:t>
      </w:r>
      <w:r w:rsidRPr="000B531D">
        <w:t xml:space="preserve">hether </w:t>
      </w:r>
      <w:r>
        <w:t xml:space="preserve">they are also working on </w:t>
      </w:r>
      <w:r w:rsidRPr="000B531D">
        <w:t xml:space="preserve">UL beam hopping </w:t>
      </w:r>
      <w:r>
        <w:t>(and whether this is separate from</w:t>
      </w:r>
      <w:r w:rsidRPr="000B531D">
        <w:t xml:space="preserve"> DL beam h</w:t>
      </w:r>
      <w:r>
        <w:t>opping)</w:t>
      </w:r>
    </w:p>
    <w:p w14:paraId="313F7820" w14:textId="5FD9F380" w:rsidR="0088640C" w:rsidRPr="0088640C" w:rsidRDefault="0088640C">
      <w:pPr>
        <w:pStyle w:val="B1"/>
        <w:spacing w:before="180"/>
        <w:ind w:left="0" w:firstLine="0"/>
        <w:rPr>
          <w:rFonts w:eastAsia="宋体"/>
          <w:sz w:val="22"/>
          <w:lang w:val="en-US" w:eastAsia="zh-CN"/>
        </w:rPr>
      </w:pPr>
      <w:r w:rsidRPr="0088640C">
        <w:rPr>
          <w:rFonts w:eastAsia="宋体"/>
          <w:sz w:val="22"/>
          <w:lang w:val="en-US" w:eastAsia="zh-CN"/>
        </w:rPr>
        <w:t>In this contribution, we further discuss the possible system level enhancements from RAN2 perspective.</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4" w:name="OLE_LINK139"/>
      <w:bookmarkStart w:id="5" w:name="OLE_LINK140"/>
    </w:p>
    <w:p w14:paraId="4CB62A15" w14:textId="00B958A1"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5272D24" w14:textId="542FD694" w:rsidR="004B70D7" w:rsidRDefault="004B70D7" w:rsidP="009B63BC">
      <w:pPr>
        <w:spacing w:line="240" w:lineRule="auto"/>
        <w:outlineLvl w:val="1"/>
        <w:rPr>
          <w:rFonts w:ascii="Arial" w:hAnsi="Arial" w:cs="Arial"/>
          <w:sz w:val="28"/>
          <w:szCs w:val="24"/>
        </w:rPr>
      </w:pPr>
      <w:r w:rsidRPr="003968A7">
        <w:rPr>
          <w:rFonts w:ascii="Arial" w:hAnsi="Arial" w:cs="Arial"/>
          <w:sz w:val="28"/>
          <w:szCs w:val="24"/>
        </w:rPr>
        <w:t xml:space="preserve">2.1 </w:t>
      </w:r>
      <w:r w:rsidR="00477906">
        <w:rPr>
          <w:rFonts w:ascii="Arial" w:hAnsi="Arial" w:cs="Arial"/>
          <w:sz w:val="28"/>
          <w:szCs w:val="24"/>
        </w:rPr>
        <w:t>Cell level vs. beam level</w:t>
      </w:r>
    </w:p>
    <w:p w14:paraId="0CA634E2" w14:textId="2A609FFE" w:rsidR="003772E1" w:rsidRDefault="003772E1" w:rsidP="00220505">
      <w:pPr>
        <w:spacing w:line="240" w:lineRule="auto"/>
      </w:pPr>
      <w:r>
        <w:t xml:space="preserve">Earlier in RAN2#125bis meeting, RAN2 initially </w:t>
      </w:r>
      <w:r w:rsidR="00B21A0A">
        <w:rPr>
          <w:rFonts w:hint="eastAsia"/>
        </w:rPr>
        <w:t>provide</w:t>
      </w:r>
      <w:r w:rsidR="00B21A0A">
        <w:t xml:space="preserve">d </w:t>
      </w:r>
      <w:r>
        <w:t>the insight</w:t>
      </w:r>
      <w:r w:rsidR="00F52B5A">
        <w:t>s</w:t>
      </w:r>
      <w:r>
        <w:t xml:space="preserve"> on RAN2 aspects of </w:t>
      </w:r>
      <w:r w:rsidRPr="00CD3107">
        <w:t>system</w:t>
      </w:r>
      <w:r>
        <w:t>-</w:t>
      </w:r>
      <w:r w:rsidRPr="00CD3107">
        <w:t>leve</w:t>
      </w:r>
      <w:r>
        <w:t>l d</w:t>
      </w:r>
      <w:r w:rsidRPr="00BC5EC8">
        <w:t xml:space="preserve">ownlink </w:t>
      </w:r>
      <w:r>
        <w:t>c</w:t>
      </w:r>
      <w:r w:rsidRPr="00BC5EC8">
        <w:t xml:space="preserve">overage </w:t>
      </w:r>
      <w:r>
        <w:t>e</w:t>
      </w:r>
      <w:r w:rsidRPr="00BC5EC8">
        <w:t>nhancements</w:t>
      </w:r>
      <w:r>
        <w:t>. The corresponding agreement is listed below:</w:t>
      </w:r>
    </w:p>
    <w:tbl>
      <w:tblPr>
        <w:tblStyle w:val="af0"/>
        <w:tblW w:w="0" w:type="auto"/>
        <w:tblLook w:val="04A0" w:firstRow="1" w:lastRow="0" w:firstColumn="1" w:lastColumn="0" w:noHBand="0" w:noVBand="1"/>
      </w:tblPr>
      <w:tblGrid>
        <w:gridCol w:w="9629"/>
      </w:tblGrid>
      <w:tr w:rsidR="003772E1" w14:paraId="5CE92DBB" w14:textId="77777777" w:rsidTr="00CD40CF">
        <w:tc>
          <w:tcPr>
            <w:tcW w:w="9629" w:type="dxa"/>
          </w:tcPr>
          <w:p w14:paraId="5F477055" w14:textId="77777777" w:rsidR="003772E1" w:rsidRPr="00C925CC" w:rsidRDefault="003772E1" w:rsidP="00CD40CF">
            <w:pPr>
              <w:spacing w:beforeLines="50" w:before="156" w:line="240" w:lineRule="auto"/>
              <w:rPr>
                <w:b/>
              </w:rPr>
            </w:pPr>
            <w:r w:rsidRPr="00C925CC">
              <w:rPr>
                <w:rFonts w:hint="eastAsia"/>
                <w:b/>
                <w:highlight w:val="green"/>
              </w:rPr>
              <w:t>A</w:t>
            </w:r>
            <w:r w:rsidRPr="00C925CC">
              <w:rPr>
                <w:b/>
                <w:highlight w:val="green"/>
              </w:rPr>
              <w:t>greement:</w:t>
            </w:r>
          </w:p>
          <w:p w14:paraId="52AD497D" w14:textId="77777777" w:rsidR="003772E1" w:rsidRDefault="003772E1" w:rsidP="00CD40CF">
            <w:pPr>
              <w:snapToGrid w:val="0"/>
              <w:spacing w:line="240" w:lineRule="auto"/>
              <w:rPr>
                <w:lang w:eastAsia="x-none"/>
              </w:rPr>
            </w:pPr>
            <w:r>
              <w:rPr>
                <w:lang w:eastAsia="x-none"/>
              </w:rPr>
              <w:t>We will continue the discussion on RAN2 aspects of DL coverage enhancements (</w:t>
            </w:r>
            <w:r w:rsidRPr="00B412B9">
              <w:rPr>
                <w:highlight w:val="yellow"/>
                <w:lang w:eastAsia="x-none"/>
              </w:rPr>
              <w:t>e.g. cell level / beam level DTX/DRX mechanism, etc</w:t>
            </w:r>
            <w:r>
              <w:rPr>
                <w:lang w:eastAsia="x-none"/>
              </w:rPr>
              <w:t>.) in the next meetings, trying to identify questions to RAN1 for aspects where we need their input.</w:t>
            </w:r>
          </w:p>
        </w:tc>
      </w:tr>
    </w:tbl>
    <w:p w14:paraId="4C59C834" w14:textId="024B853F" w:rsidR="003772E1" w:rsidRDefault="00B412B9" w:rsidP="00220505">
      <w:pPr>
        <w:spacing w:before="180" w:line="240" w:lineRule="auto"/>
      </w:pPr>
      <w:r>
        <w:t>RAN1 discuss</w:t>
      </w:r>
      <w:r w:rsidR="00F52B5A">
        <w:t>ed</w:t>
      </w:r>
      <w:r>
        <w:t xml:space="preserve"> the system level DL coverage enhancement </w:t>
      </w:r>
      <w:r w:rsidR="00832BDD">
        <w:rPr>
          <w:rFonts w:hint="eastAsia"/>
        </w:rPr>
        <w:t>for</w:t>
      </w:r>
      <w:r w:rsidR="00832BDD">
        <w:t xml:space="preserve"> the dynamic power sharing among </w:t>
      </w:r>
      <w:r>
        <w:t>satellite beam</w:t>
      </w:r>
      <w:r w:rsidR="00832BDD">
        <w:rPr>
          <w:rFonts w:hint="eastAsia"/>
        </w:rPr>
        <w:t>s</w:t>
      </w:r>
      <w:r>
        <w:t>,</w:t>
      </w:r>
      <w:r w:rsidR="005A277F">
        <w:t xml:space="preserve"> i.e. operating in the granularity of satellite beam</w:t>
      </w:r>
      <w:r>
        <w:t>.</w:t>
      </w:r>
      <w:r w:rsidR="005A277F">
        <w:t xml:space="preserve"> However</w:t>
      </w:r>
      <w:r w:rsidR="005A277F">
        <w:rPr>
          <w:rFonts w:hint="eastAsia"/>
        </w:rPr>
        <w:t>,</w:t>
      </w:r>
      <w:r w:rsidR="005A277F">
        <w:t xml:space="preserve"> only NR cells and NR SSB beams are </w:t>
      </w:r>
      <w:r w:rsidR="005A277F">
        <w:rPr>
          <w:rFonts w:hint="eastAsia"/>
        </w:rPr>
        <w:t>visible</w:t>
      </w:r>
      <w:r w:rsidR="005A277F">
        <w:t xml:space="preserve"> to UEs. In order to transform the satellite beam, we need to figure out the correlation among satellite beam, NR beam, and cell. The following 5 candidate options for the mapping relationship has been provided in [4]</w:t>
      </w:r>
      <w:r w:rsidR="005A277F">
        <w:rPr>
          <w:rFonts w:hint="eastAsia"/>
        </w:rPr>
        <w:t>：</w:t>
      </w:r>
    </w:p>
    <w:p w14:paraId="23D74FC6" w14:textId="77777777" w:rsidR="005A277F" w:rsidRPr="009E5B17" w:rsidRDefault="005A277F" w:rsidP="006347EA">
      <w:pPr>
        <w:pStyle w:val="B1"/>
        <w:rPr>
          <w:lang w:val="en-US"/>
        </w:rPr>
      </w:pPr>
      <w:r w:rsidRPr="009E5B17">
        <w:rPr>
          <w:lang w:val="en-US"/>
        </w:rPr>
        <w:t>Option 1: Single NR cell per satellite beam and single NR beam</w:t>
      </w:r>
      <w:r>
        <w:rPr>
          <w:lang w:val="en-US"/>
        </w:rPr>
        <w:t xml:space="preserve"> per</w:t>
      </w:r>
      <w:r w:rsidRPr="009E5B17">
        <w:rPr>
          <w:lang w:val="en-US"/>
        </w:rPr>
        <w:t xml:space="preserve"> </w:t>
      </w:r>
      <w:r>
        <w:rPr>
          <w:lang w:val="en-US"/>
        </w:rPr>
        <w:t xml:space="preserve">NR </w:t>
      </w:r>
      <w:r w:rsidRPr="009E5B17">
        <w:rPr>
          <w:lang w:val="en-US"/>
        </w:rPr>
        <w:t>cell</w:t>
      </w:r>
      <w:r>
        <w:rPr>
          <w:lang w:val="en-US"/>
        </w:rPr>
        <w:t>;</w:t>
      </w:r>
    </w:p>
    <w:p w14:paraId="161C2358" w14:textId="77777777" w:rsidR="005A277F" w:rsidRPr="009E5B17" w:rsidRDefault="005A277F" w:rsidP="006347EA">
      <w:pPr>
        <w:pStyle w:val="B1"/>
        <w:rPr>
          <w:lang w:val="en-US"/>
        </w:rPr>
      </w:pPr>
      <w:r w:rsidRPr="009E5B17">
        <w:rPr>
          <w:lang w:val="en-US"/>
        </w:rPr>
        <w:lastRenderedPageBreak/>
        <w:t>Option 2: Multi-Satellite beam</w:t>
      </w:r>
      <w:r>
        <w:rPr>
          <w:lang w:val="en-US"/>
        </w:rPr>
        <w:t>s</w:t>
      </w:r>
      <w:r w:rsidRPr="009E5B17">
        <w:rPr>
          <w:lang w:val="en-US"/>
        </w:rPr>
        <w:t xml:space="preserve"> </w:t>
      </w:r>
      <w:r>
        <w:rPr>
          <w:lang w:val="en-US"/>
        </w:rPr>
        <w:t>per NR</w:t>
      </w:r>
      <w:r w:rsidRPr="009E5B17">
        <w:rPr>
          <w:lang w:val="en-US"/>
        </w:rPr>
        <w:t xml:space="preserve"> cell and single NR beam</w:t>
      </w:r>
      <w:r>
        <w:rPr>
          <w:lang w:val="en-US"/>
        </w:rPr>
        <w:t>s</w:t>
      </w:r>
      <w:r w:rsidRPr="009E5B17">
        <w:rPr>
          <w:lang w:val="en-US"/>
        </w:rPr>
        <w:t xml:space="preserve"> </w:t>
      </w:r>
      <w:r>
        <w:rPr>
          <w:lang w:val="en-US"/>
        </w:rPr>
        <w:t>per NR cell;</w:t>
      </w:r>
      <w:r w:rsidRPr="009E5B17">
        <w:rPr>
          <w:lang w:val="en-US"/>
        </w:rPr>
        <w:t xml:space="preserve"> </w:t>
      </w:r>
    </w:p>
    <w:p w14:paraId="5084943A" w14:textId="77777777" w:rsidR="005A277F" w:rsidRPr="005A46B3" w:rsidRDefault="005A277F" w:rsidP="006347EA">
      <w:pPr>
        <w:pStyle w:val="B1"/>
        <w:rPr>
          <w:lang w:val="en-US"/>
        </w:rPr>
      </w:pPr>
      <w:r w:rsidRPr="005A46B3">
        <w:rPr>
          <w:lang w:val="en-US"/>
        </w:rPr>
        <w:t>Option 3: Multi-Satellite beam</w:t>
      </w:r>
      <w:r>
        <w:rPr>
          <w:lang w:val="en-US"/>
        </w:rPr>
        <w:t>s</w:t>
      </w:r>
      <w:r w:rsidRPr="005A46B3">
        <w:rPr>
          <w:lang w:val="en-US"/>
        </w:rPr>
        <w:t xml:space="preserve"> </w:t>
      </w:r>
      <w:r>
        <w:rPr>
          <w:lang w:val="en-US"/>
        </w:rPr>
        <w:t xml:space="preserve">per NR </w:t>
      </w:r>
      <w:r w:rsidRPr="005A46B3">
        <w:rPr>
          <w:lang w:val="en-US"/>
        </w:rPr>
        <w:t>cell and multi NR beam</w:t>
      </w:r>
      <w:r>
        <w:rPr>
          <w:lang w:val="en-US"/>
        </w:rPr>
        <w:t>s</w:t>
      </w:r>
      <w:r w:rsidRPr="005A46B3">
        <w:rPr>
          <w:lang w:val="en-US"/>
        </w:rPr>
        <w:t xml:space="preserve"> </w:t>
      </w:r>
      <w:r>
        <w:rPr>
          <w:lang w:val="en-US"/>
        </w:rPr>
        <w:t xml:space="preserve">per NR </w:t>
      </w:r>
      <w:r w:rsidRPr="005A46B3">
        <w:rPr>
          <w:lang w:val="en-US"/>
        </w:rPr>
        <w:t>cell</w:t>
      </w:r>
      <w:r>
        <w:rPr>
          <w:lang w:val="en-US"/>
        </w:rPr>
        <w:t>;</w:t>
      </w:r>
    </w:p>
    <w:p w14:paraId="093743D3" w14:textId="77777777" w:rsidR="005A277F" w:rsidRPr="005A46B3" w:rsidRDefault="005A277F" w:rsidP="006347EA">
      <w:pPr>
        <w:pStyle w:val="B1"/>
        <w:rPr>
          <w:lang w:val="en-US"/>
        </w:rPr>
      </w:pPr>
      <w:r w:rsidRPr="005A46B3">
        <w:rPr>
          <w:lang w:val="en-US"/>
        </w:rPr>
        <w:t>Option 4: Multi NR cells per satellite beam</w:t>
      </w:r>
      <w:r>
        <w:rPr>
          <w:lang w:val="en-US"/>
        </w:rPr>
        <w:t>;</w:t>
      </w:r>
    </w:p>
    <w:p w14:paraId="2831A575" w14:textId="77777777" w:rsidR="005A277F" w:rsidRPr="005A46B3" w:rsidRDefault="005A277F" w:rsidP="006347EA">
      <w:pPr>
        <w:pStyle w:val="B1"/>
        <w:rPr>
          <w:lang w:val="en-US"/>
        </w:rPr>
      </w:pPr>
      <w:r w:rsidRPr="005A46B3">
        <w:rPr>
          <w:lang w:val="en-US"/>
        </w:rPr>
        <w:t>Option 5: Multi NR cells split across satellite beams</w:t>
      </w:r>
      <w:r>
        <w:rPr>
          <w:lang w:val="en-US"/>
        </w:rPr>
        <w:t>.</w:t>
      </w:r>
    </w:p>
    <w:p w14:paraId="05A19B81" w14:textId="77F6EDE5" w:rsidR="005A277F" w:rsidRPr="005A277F" w:rsidRDefault="005A277F" w:rsidP="00220505">
      <w:pPr>
        <w:spacing w:line="240" w:lineRule="auto"/>
      </w:pPr>
      <w:r>
        <w:t xml:space="preserve">The mapping </w:t>
      </w:r>
      <w:r w:rsidR="00F52B5A">
        <w:t xml:space="preserve">issue </w:t>
      </w:r>
      <w:r>
        <w:t xml:space="preserve">has </w:t>
      </w:r>
      <w:r w:rsidR="00F52B5A">
        <w:t xml:space="preserve">remained open </w:t>
      </w:r>
      <w:r>
        <w:t xml:space="preserve">for </w:t>
      </w:r>
      <w:r w:rsidR="00F52B5A">
        <w:t>several RAN1 meetings</w:t>
      </w:r>
      <w:r>
        <w:t xml:space="preserve"> and no conclusion has been reached</w:t>
      </w:r>
      <w:r w:rsidR="00F52B5A">
        <w:t xml:space="preserve"> yet</w:t>
      </w:r>
      <w:r>
        <w:t xml:space="preserve">. In our understanding, </w:t>
      </w:r>
      <w:r w:rsidR="00EB0292" w:rsidRPr="00EB0292">
        <w:t>how the satellite beams map to</w:t>
      </w:r>
      <w:r w:rsidR="00EB0292">
        <w:t xml:space="preserve"> </w:t>
      </w:r>
      <w:r w:rsidR="00EB0292" w:rsidRPr="00EB0292">
        <w:t>NR beams is up to network implementation</w:t>
      </w:r>
      <w:r w:rsidR="00EB0292">
        <w:rPr>
          <w:rFonts w:hint="eastAsia"/>
        </w:rPr>
        <w:t>.</w:t>
      </w:r>
      <w:r w:rsidR="00EB0292">
        <w:t xml:space="preserve"> </w:t>
      </w:r>
      <w:r w:rsidR="00F52B5A">
        <w:t>Unless further down-scoping made in RAN</w:t>
      </w:r>
      <w:r w:rsidR="00061C65">
        <w:t>1</w:t>
      </w:r>
      <w:r w:rsidR="00F52B5A">
        <w:t xml:space="preserve">, RAN2 needs to </w:t>
      </w:r>
      <w:r w:rsidR="00EB0292">
        <w:t xml:space="preserve">consider all the above candidate options </w:t>
      </w:r>
      <w:r w:rsidR="00F52B5A">
        <w:t>when</w:t>
      </w:r>
      <w:r w:rsidR="00EB0292">
        <w:t xml:space="preserve"> </w:t>
      </w:r>
      <w:r w:rsidR="00F52B5A">
        <w:t xml:space="preserve">analyzing </w:t>
      </w:r>
      <w:r w:rsidR="00EB0292">
        <w:t>the pros and cons of the cell level Cell DTX/DRX and beam level Cell DTX/DRX.</w:t>
      </w:r>
    </w:p>
    <w:p w14:paraId="620D6DBD" w14:textId="4FB6B4CF" w:rsidR="003772E1" w:rsidRDefault="00EB0292" w:rsidP="00220505">
      <w:pPr>
        <w:spacing w:line="240" w:lineRule="auto"/>
      </w:pPr>
      <w:r>
        <w:t xml:space="preserve">For </w:t>
      </w:r>
      <w:r w:rsidR="003772E1">
        <w:t xml:space="preserve">Option 1 and Option 4 (where the satellite beam is equal to or larger than an NR cell), the cell level Cell DTX/DRX mechanism is a better choice </w:t>
      </w:r>
      <w:r w:rsidR="00D60674">
        <w:t>compared with</w:t>
      </w:r>
      <w:r w:rsidR="003772E1">
        <w:t xml:space="preserve"> beam level DTX/DRX, since the satellite beam </w:t>
      </w:r>
      <w:r>
        <w:t xml:space="preserve">operation </w:t>
      </w:r>
      <w:r w:rsidR="003772E1">
        <w:t>is common to the UEs within the</w:t>
      </w:r>
      <w:r>
        <w:t xml:space="preserve"> </w:t>
      </w:r>
      <w:r w:rsidR="003772E1">
        <w:t>cell coverage</w:t>
      </w:r>
      <w:r w:rsidR="003772E1">
        <w:rPr>
          <w:rFonts w:hint="eastAsia"/>
        </w:rPr>
        <w:t>.</w:t>
      </w:r>
      <w:r w:rsidR="003772E1">
        <w:t xml:space="preserve"> </w:t>
      </w:r>
      <w:r w:rsidR="0058419D">
        <w:t>On the other hand</w:t>
      </w:r>
      <w:r>
        <w:t>, for o</w:t>
      </w:r>
      <w:r w:rsidR="003772E1">
        <w:t xml:space="preserve">ption 2/3/5 (where the satellite beam is smaller than an NR cell), the satellite beam </w:t>
      </w:r>
      <w:r>
        <w:rPr>
          <w:rFonts w:hint="eastAsia"/>
        </w:rPr>
        <w:t>operation</w:t>
      </w:r>
      <w:r>
        <w:t xml:space="preserve"> </w:t>
      </w:r>
      <w:r w:rsidR="003772E1">
        <w:t xml:space="preserve">affects a </w:t>
      </w:r>
      <w:r>
        <w:t xml:space="preserve">portion </w:t>
      </w:r>
      <w:r w:rsidR="003772E1">
        <w:t xml:space="preserve">of an NR cell, which makes the cell level cell DTX/DRX </w:t>
      </w:r>
      <w:r w:rsidR="002B5847">
        <w:t>unsuited for these options</w:t>
      </w:r>
      <w:r w:rsidR="003772E1">
        <w:t xml:space="preserve">. </w:t>
      </w:r>
    </w:p>
    <w:p w14:paraId="33FDC1F0" w14:textId="474ED835" w:rsidR="00DD7858" w:rsidRDefault="00D60674" w:rsidP="00220505">
      <w:pPr>
        <w:spacing w:line="240" w:lineRule="auto"/>
      </w:pPr>
      <w:r>
        <w:t>B</w:t>
      </w:r>
      <w:r w:rsidR="003772E1">
        <w:t xml:space="preserve">eam level DTX/DRX has a finer granularity, </w:t>
      </w:r>
      <w:r>
        <w:t xml:space="preserve">and </w:t>
      </w:r>
      <w:r w:rsidR="003772E1">
        <w:t>the beam level pattern can take a non-uniform distribution of users and of traffic load into account</w:t>
      </w:r>
      <w:r w:rsidR="00EB0292">
        <w:t xml:space="preserve"> by setting the </w:t>
      </w:r>
      <w:r w:rsidR="00EB0292">
        <w:rPr>
          <w:rFonts w:hint="eastAsia"/>
        </w:rPr>
        <w:t>active</w:t>
      </w:r>
      <w:r w:rsidR="00EB0292">
        <w:t xml:space="preserve">/inactive duration and </w:t>
      </w:r>
      <w:r w:rsidR="00EB0292">
        <w:rPr>
          <w:rFonts w:hint="eastAsia"/>
        </w:rPr>
        <w:t>cycle</w:t>
      </w:r>
      <w:r w:rsidR="003772E1">
        <w:t>. Therefore, a beam level DTX/DRX is suitable to address all scenarios.</w:t>
      </w:r>
      <w:r w:rsidR="0065430F">
        <w:t xml:space="preserve"> </w:t>
      </w:r>
      <w:r w:rsidR="003772E1">
        <w:t>To support beam level DTX/DRX, the network should provide the UE with multiple DTX/DRX patterns associated with each beam. When the UE switches its DL SSB beam to a new DL SSB beam, the UE needs to switch to the DTX/DRX pattern associated with the new DL SSB beam.</w:t>
      </w:r>
      <w:r w:rsidR="0063556E">
        <w:rPr>
          <w:rFonts w:hint="eastAsia"/>
        </w:rPr>
        <w:t xml:space="preserve"> </w:t>
      </w:r>
      <w:r w:rsidR="0063556E">
        <w:t xml:space="preserve">Since </w:t>
      </w:r>
      <w:r w:rsidR="00B733FE">
        <w:t>some fundamental assumptions are still pending on RAN1 discussion</w:t>
      </w:r>
      <w:r w:rsidR="0063556E">
        <w:t xml:space="preserve">, we propose RAN2 to wait for </w:t>
      </w:r>
      <w:r w:rsidR="00B733FE">
        <w:t xml:space="preserve">sufficient </w:t>
      </w:r>
      <w:r w:rsidR="00A96A96">
        <w:t xml:space="preserve">RAN1 progress </w:t>
      </w:r>
      <w:r w:rsidR="00B733FE">
        <w:t xml:space="preserve">before </w:t>
      </w:r>
      <w:r w:rsidR="0063556E">
        <w:t>further RAN2 discussion.</w:t>
      </w:r>
    </w:p>
    <w:p w14:paraId="747C9924" w14:textId="11536718" w:rsidR="00015A37" w:rsidRDefault="003772E1" w:rsidP="006347EA">
      <w:pPr>
        <w:spacing w:line="240" w:lineRule="auto"/>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sidR="00015A37">
        <w:rPr>
          <w:rFonts w:eastAsiaTheme="minorEastAsia"/>
          <w:b/>
        </w:rPr>
        <w:t xml:space="preserve">RAN2 </w:t>
      </w:r>
      <w:r w:rsidR="0065430F">
        <w:rPr>
          <w:rFonts w:eastAsiaTheme="minorEastAsia" w:hint="eastAsia"/>
          <w:b/>
        </w:rPr>
        <w:t>wait</w:t>
      </w:r>
      <w:r w:rsidR="005158A6">
        <w:rPr>
          <w:rFonts w:eastAsiaTheme="minorEastAsia"/>
          <w:b/>
        </w:rPr>
        <w:t>s</w:t>
      </w:r>
      <w:r w:rsidR="0065430F">
        <w:rPr>
          <w:rFonts w:eastAsiaTheme="minorEastAsia"/>
          <w:b/>
        </w:rPr>
        <w:t xml:space="preserve"> for RAN1 input </w:t>
      </w:r>
      <w:r w:rsidR="00B733FE">
        <w:rPr>
          <w:rFonts w:eastAsiaTheme="minorEastAsia"/>
          <w:b/>
        </w:rPr>
        <w:t>before further discussion on</w:t>
      </w:r>
      <w:r w:rsidR="0065430F">
        <w:rPr>
          <w:rFonts w:eastAsiaTheme="minorEastAsia"/>
          <w:b/>
        </w:rPr>
        <w:t xml:space="preserve"> cell level and beam level Cell DTX/DRX pattern.</w:t>
      </w:r>
    </w:p>
    <w:p w14:paraId="47AC8387" w14:textId="5F6B008E" w:rsidR="0065430F" w:rsidRDefault="0065430F" w:rsidP="0065430F">
      <w:pPr>
        <w:spacing w:line="240" w:lineRule="auto"/>
        <w:outlineLvl w:val="1"/>
        <w:rPr>
          <w:rFonts w:ascii="Arial" w:hAnsi="Arial" w:cs="Arial"/>
          <w:sz w:val="28"/>
          <w:szCs w:val="24"/>
        </w:rPr>
      </w:pPr>
      <w:r w:rsidRPr="003968A7">
        <w:rPr>
          <w:rFonts w:ascii="Arial" w:hAnsi="Arial" w:cs="Arial"/>
          <w:sz w:val="28"/>
          <w:szCs w:val="24"/>
        </w:rPr>
        <w:t>2.</w:t>
      </w:r>
      <w:r>
        <w:rPr>
          <w:rFonts w:ascii="Arial" w:hAnsi="Arial" w:cs="Arial"/>
          <w:sz w:val="28"/>
          <w:szCs w:val="24"/>
        </w:rPr>
        <w:t>2</w:t>
      </w:r>
      <w:r w:rsidRPr="003968A7">
        <w:rPr>
          <w:rFonts w:ascii="Arial" w:hAnsi="Arial" w:cs="Arial"/>
          <w:sz w:val="28"/>
          <w:szCs w:val="24"/>
        </w:rPr>
        <w:t xml:space="preserve"> </w:t>
      </w:r>
      <w:r w:rsidR="00921C1E">
        <w:rPr>
          <w:rFonts w:ascii="Arial" w:hAnsi="Arial" w:cs="Arial"/>
          <w:sz w:val="28"/>
          <w:szCs w:val="24"/>
        </w:rPr>
        <w:t xml:space="preserve">Implications </w:t>
      </w:r>
      <w:r>
        <w:rPr>
          <w:rFonts w:ascii="Arial" w:hAnsi="Arial" w:cs="Arial"/>
          <w:sz w:val="28"/>
          <w:szCs w:val="24"/>
        </w:rPr>
        <w:t>of SSB periodicity</w:t>
      </w:r>
      <w:r w:rsidR="00770FD4">
        <w:rPr>
          <w:rFonts w:ascii="Arial" w:hAnsi="Arial" w:cs="Arial"/>
          <w:sz w:val="28"/>
          <w:szCs w:val="24"/>
        </w:rPr>
        <w:t xml:space="preserve"> extension</w:t>
      </w:r>
    </w:p>
    <w:p w14:paraId="75257EC8" w14:textId="37CE02E3" w:rsidR="00DE05E3" w:rsidRPr="00515A23" w:rsidRDefault="00770FD4" w:rsidP="006347EA">
      <w:pPr>
        <w:spacing w:line="240" w:lineRule="auto"/>
      </w:pPr>
      <w:r>
        <w:t xml:space="preserve">As the revised WID states, the SSB periodicity extension is further considered. RAN1 is now discussing whether to extend the SSB periodicity to be </w:t>
      </w:r>
      <w:r w:rsidR="00921C1E">
        <w:t xml:space="preserve">larger than </w:t>
      </w:r>
      <w:r>
        <w:t>160ms</w:t>
      </w:r>
      <w:r w:rsidR="00921C1E">
        <w:t>, e.g.</w:t>
      </w:r>
      <w:r>
        <w:t xml:space="preserve"> 320ms. If RAN1 decides to support 320ms for SSB periodicity, RAN2 need to extend the </w:t>
      </w:r>
      <w:proofErr w:type="spellStart"/>
      <w:r w:rsidR="00C72980" w:rsidRPr="00C72980">
        <w:rPr>
          <w:i/>
        </w:rPr>
        <w:t>ssb-periodicityServingCell</w:t>
      </w:r>
      <w:proofErr w:type="spellEnd"/>
      <w:r>
        <w:t xml:space="preserve"> to </w:t>
      </w:r>
      <w:r w:rsidR="00C72980">
        <w:t xml:space="preserve">support </w:t>
      </w:r>
      <w:r>
        <w:t xml:space="preserve">320ms. Besides, </w:t>
      </w:r>
      <w:r w:rsidR="005375E1">
        <w:t>some other configuration like SMTC and gap has a periodicity related to SSB periodicity, these values also needs to be extended accordingly</w:t>
      </w:r>
      <w:r w:rsidR="00C72980">
        <w:t>.</w:t>
      </w:r>
    </w:p>
    <w:p w14:paraId="3F7BFFE9" w14:textId="67C8C4CB" w:rsidR="00DE05E3" w:rsidRPr="00C72980" w:rsidRDefault="00C72980" w:rsidP="00220505">
      <w:pPr>
        <w:spacing w:line="240" w:lineRule="auto"/>
        <w:rPr>
          <w:rFonts w:eastAsiaTheme="minorEastAsia"/>
          <w:b/>
        </w:rPr>
      </w:pPr>
      <w:r w:rsidRPr="00B2585A">
        <w:rPr>
          <w:rFonts w:eastAsiaTheme="minorEastAsia"/>
          <w:b/>
        </w:rPr>
        <w:t xml:space="preserve">Proposal </w:t>
      </w:r>
      <w:r>
        <w:rPr>
          <w:rFonts w:eastAsiaTheme="minorEastAsia"/>
          <w:b/>
        </w:rPr>
        <w:t>2</w:t>
      </w:r>
      <w:r w:rsidRPr="00B2585A">
        <w:rPr>
          <w:rFonts w:eastAsiaTheme="minorEastAsia"/>
          <w:b/>
        </w:rPr>
        <w:t xml:space="preserve">: </w:t>
      </w:r>
      <w:r w:rsidRPr="00C72980">
        <w:rPr>
          <w:rFonts w:eastAsiaTheme="minorEastAsia"/>
          <w:b/>
        </w:rPr>
        <w:t xml:space="preserve">If RAN1 decides to support 320ms for SSB periodicity, RAN2 need to extend the </w:t>
      </w:r>
      <w:proofErr w:type="spellStart"/>
      <w:r w:rsidRPr="00C72980">
        <w:rPr>
          <w:rFonts w:eastAsiaTheme="minorEastAsia"/>
          <w:b/>
          <w:i/>
        </w:rPr>
        <w:t>ssb-periodicityServingCell</w:t>
      </w:r>
      <w:proofErr w:type="spellEnd"/>
      <w:r w:rsidRPr="00C72980">
        <w:rPr>
          <w:rFonts w:eastAsiaTheme="minorEastAsia"/>
          <w:b/>
          <w:i/>
        </w:rPr>
        <w:t>, SSB-MTC</w:t>
      </w:r>
      <w:r w:rsidRPr="00C72980">
        <w:rPr>
          <w:rFonts w:eastAsiaTheme="minorEastAsia" w:hint="eastAsia"/>
          <w:b/>
          <w:i/>
        </w:rPr>
        <w:t>,</w:t>
      </w:r>
      <w:r w:rsidRPr="00C72980">
        <w:rPr>
          <w:rFonts w:eastAsiaTheme="minorEastAsia"/>
          <w:b/>
          <w:i/>
        </w:rPr>
        <w:t xml:space="preserve"> SSB-MTC4-r17</w:t>
      </w:r>
      <w:r w:rsidRPr="00C72980">
        <w:rPr>
          <w:rFonts w:eastAsiaTheme="minorEastAsia"/>
          <w:b/>
        </w:rPr>
        <w:t xml:space="preserve"> and </w:t>
      </w:r>
      <w:proofErr w:type="spellStart"/>
      <w:r w:rsidRPr="00C72980">
        <w:rPr>
          <w:rFonts w:eastAsiaTheme="minorEastAsia"/>
          <w:b/>
          <w:i/>
        </w:rPr>
        <w:t>mgrp</w:t>
      </w:r>
      <w:proofErr w:type="spellEnd"/>
      <w:r w:rsidRPr="00C72980">
        <w:rPr>
          <w:rFonts w:eastAsiaTheme="minorEastAsia"/>
          <w:b/>
        </w:rPr>
        <w:t xml:space="preserve"> to support 320ms</w:t>
      </w:r>
      <w:r w:rsidRPr="00C72980">
        <w:rPr>
          <w:rFonts w:eastAsiaTheme="minorEastAsia" w:hint="eastAsia"/>
          <w:b/>
        </w:rPr>
        <w:t>.</w:t>
      </w:r>
    </w:p>
    <w:bookmarkEnd w:id="4"/>
    <w:bookmarkEnd w:id="5"/>
    <w:p w14:paraId="669EC1BE" w14:textId="59E2E0E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1D97D7EE" w14:textId="26B6003E" w:rsidR="00C72980" w:rsidRDefault="00B71E3E" w:rsidP="006347EA">
      <w:pPr>
        <w:spacing w:line="240" w:lineRule="auto"/>
        <w:rPr>
          <w:bCs/>
          <w:szCs w:val="22"/>
        </w:rPr>
      </w:pPr>
      <w:r w:rsidRPr="00E706FC">
        <w:t>This contribution discuss</w:t>
      </w:r>
      <w:r>
        <w:t>ed</w:t>
      </w:r>
      <w:r w:rsidRPr="00E706FC">
        <w:t xml:space="preserve"> the DL coverage enhancements</w:t>
      </w:r>
      <w:r>
        <w:t xml:space="preserve"> in Rel-19 NR NTN. P</w:t>
      </w:r>
      <w:r w:rsidRPr="00E706FC">
        <w:t>roposals</w:t>
      </w:r>
      <w:r w:rsidRPr="00B71E3E">
        <w:rPr>
          <w:bCs/>
          <w:szCs w:val="22"/>
        </w:rPr>
        <w:t xml:space="preserve"> are summarized as follows</w:t>
      </w:r>
      <w:r w:rsidR="00C72980">
        <w:rPr>
          <w:bCs/>
          <w:szCs w:val="22"/>
        </w:rPr>
        <w:t>:</w:t>
      </w:r>
    </w:p>
    <w:p w14:paraId="1329AC9A" w14:textId="47A6B4F2" w:rsidR="00FE7B30" w:rsidRDefault="00FE7B30" w:rsidP="00FE7B30">
      <w:pPr>
        <w:spacing w:line="240" w:lineRule="auto"/>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Pr>
          <w:rFonts w:eastAsiaTheme="minorEastAsia"/>
          <w:b/>
        </w:rPr>
        <w:t xml:space="preserve">RAN2 </w:t>
      </w:r>
      <w:r>
        <w:rPr>
          <w:rFonts w:eastAsiaTheme="minorEastAsia" w:hint="eastAsia"/>
          <w:b/>
        </w:rPr>
        <w:t>wait</w:t>
      </w:r>
      <w:r w:rsidR="005158A6">
        <w:rPr>
          <w:rFonts w:eastAsiaTheme="minorEastAsia"/>
          <w:b/>
        </w:rPr>
        <w:t>s</w:t>
      </w:r>
      <w:r>
        <w:rPr>
          <w:rFonts w:eastAsiaTheme="minorEastAsia"/>
          <w:b/>
        </w:rPr>
        <w:t xml:space="preserve"> for RAN1 input before further discussion on cell level and beam level Cell DTX/DRX pattern.</w:t>
      </w:r>
    </w:p>
    <w:p w14:paraId="2F34081E" w14:textId="528174DC" w:rsidR="00C72980" w:rsidRPr="00C72980" w:rsidRDefault="00C72980" w:rsidP="00220505">
      <w:pPr>
        <w:spacing w:line="240" w:lineRule="auto"/>
        <w:rPr>
          <w:rFonts w:eastAsiaTheme="minorEastAsia"/>
          <w:b/>
        </w:rPr>
      </w:pPr>
      <w:r w:rsidRPr="00B2585A">
        <w:rPr>
          <w:rFonts w:eastAsiaTheme="minorEastAsia"/>
          <w:b/>
        </w:rPr>
        <w:lastRenderedPageBreak/>
        <w:t xml:space="preserve">Proposal </w:t>
      </w:r>
      <w:r>
        <w:rPr>
          <w:rFonts w:eastAsiaTheme="minorEastAsia"/>
          <w:b/>
        </w:rPr>
        <w:t>2</w:t>
      </w:r>
      <w:r w:rsidRPr="00B2585A">
        <w:rPr>
          <w:rFonts w:eastAsiaTheme="minorEastAsia"/>
          <w:b/>
        </w:rPr>
        <w:t xml:space="preserve">: </w:t>
      </w:r>
      <w:r w:rsidRPr="00C72980">
        <w:rPr>
          <w:rFonts w:eastAsiaTheme="minorEastAsia"/>
          <w:b/>
        </w:rPr>
        <w:t xml:space="preserve">If RAN1 decides to support 320ms for SSB periodicity, RAN2 need to extend the </w:t>
      </w:r>
      <w:proofErr w:type="spellStart"/>
      <w:r w:rsidRPr="00C72980">
        <w:rPr>
          <w:rFonts w:eastAsiaTheme="minorEastAsia"/>
          <w:b/>
          <w:i/>
        </w:rPr>
        <w:t>ssb-periodicityServingCell</w:t>
      </w:r>
      <w:proofErr w:type="spellEnd"/>
      <w:r w:rsidRPr="00C72980">
        <w:rPr>
          <w:rFonts w:eastAsiaTheme="minorEastAsia"/>
          <w:b/>
          <w:i/>
        </w:rPr>
        <w:t>, SSB-MTC</w:t>
      </w:r>
      <w:r w:rsidRPr="00C72980">
        <w:rPr>
          <w:rFonts w:eastAsiaTheme="minorEastAsia" w:hint="eastAsia"/>
          <w:b/>
          <w:i/>
        </w:rPr>
        <w:t>,</w:t>
      </w:r>
      <w:r w:rsidRPr="00C72980">
        <w:rPr>
          <w:rFonts w:eastAsiaTheme="minorEastAsia"/>
          <w:b/>
          <w:i/>
        </w:rPr>
        <w:t xml:space="preserve"> SSB-MTC4-r17</w:t>
      </w:r>
      <w:r w:rsidRPr="00C72980">
        <w:rPr>
          <w:rFonts w:eastAsiaTheme="minorEastAsia"/>
          <w:b/>
        </w:rPr>
        <w:t xml:space="preserve"> and </w:t>
      </w:r>
      <w:proofErr w:type="spellStart"/>
      <w:r w:rsidRPr="00C72980">
        <w:rPr>
          <w:rFonts w:eastAsiaTheme="minorEastAsia"/>
          <w:b/>
          <w:i/>
        </w:rPr>
        <w:t>mgrp</w:t>
      </w:r>
      <w:proofErr w:type="spellEnd"/>
      <w:r w:rsidRPr="00C72980">
        <w:rPr>
          <w:rFonts w:eastAsiaTheme="minorEastAsia"/>
          <w:b/>
        </w:rPr>
        <w:t xml:space="preserve"> to support 320ms</w:t>
      </w:r>
      <w:r w:rsidRPr="00C72980">
        <w:rPr>
          <w:rFonts w:eastAsiaTheme="minorEastAsia" w:hint="eastAsia"/>
          <w:b/>
        </w:rPr>
        <w:t>.</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0060F2A1" w:rsidR="00152B8F" w:rsidRDefault="00A83106" w:rsidP="00A83106">
      <w:pPr>
        <w:pStyle w:val="Reference"/>
      </w:pPr>
      <w:bookmarkStart w:id="6" w:name="_Ref173907065"/>
      <w:r w:rsidRPr="003C456B">
        <w:t>RP-24</w:t>
      </w:r>
      <w:r w:rsidR="000C0C60" w:rsidRPr="003C456B">
        <w:t>1</w:t>
      </w:r>
      <w:r w:rsidR="003C456B" w:rsidRPr="003C456B">
        <w:t>667</w:t>
      </w:r>
      <w:r w:rsidR="0083240D">
        <w:t>,</w:t>
      </w:r>
      <w:r w:rsidRPr="00A83106">
        <w:t xml:space="preserve"> </w:t>
      </w:r>
      <w:r w:rsidR="003C456B" w:rsidRPr="003C456B">
        <w:t>Revised WID: Non-Terrestrial Networks (NTN) for NR Phase 3</w:t>
      </w:r>
      <w:r w:rsidR="0083240D" w:rsidRPr="00EC185C">
        <w:t>.</w:t>
      </w:r>
      <w:bookmarkEnd w:id="6"/>
    </w:p>
    <w:p w14:paraId="2248AAA2" w14:textId="4D11A582" w:rsidR="0088640C" w:rsidRDefault="0088640C" w:rsidP="00A83106">
      <w:pPr>
        <w:pStyle w:val="Reference"/>
      </w:pPr>
      <w:r w:rsidRPr="0088640C">
        <w:t>R2-2405762</w:t>
      </w:r>
      <w:r>
        <w:rPr>
          <w:rFonts w:hint="eastAsia"/>
        </w:rPr>
        <w:t>,</w:t>
      </w:r>
      <w:r>
        <w:t xml:space="preserve"> </w:t>
      </w:r>
      <w:r w:rsidRPr="0088640C">
        <w:rPr>
          <w:rFonts w:hint="eastAsia"/>
        </w:rPr>
        <w:t>LS on DL coverage enhancements</w:t>
      </w:r>
      <w:r w:rsidRPr="0088640C">
        <w:t>, CMCC</w:t>
      </w:r>
    </w:p>
    <w:p w14:paraId="1FC3B156" w14:textId="2552F648" w:rsidR="003C456B" w:rsidRPr="003C456B" w:rsidRDefault="008A2EF6" w:rsidP="003C456B">
      <w:pPr>
        <w:pStyle w:val="Reference"/>
      </w:pPr>
      <w:r>
        <w:t xml:space="preserve">R1-2401937, </w:t>
      </w:r>
      <w:r w:rsidR="00F52B5A" w:rsidRPr="00F52B5A">
        <w:t>Report of RAN1#116 meeting</w:t>
      </w:r>
      <w:r w:rsidR="00F52B5A">
        <w:t xml:space="preserve">, </w:t>
      </w:r>
      <w:r w:rsidR="00F52B5A" w:rsidRPr="00F52B5A">
        <w:t>ETSI MCC</w:t>
      </w:r>
    </w:p>
    <w:p w14:paraId="0732EE43" w14:textId="3C13D0BD" w:rsidR="00AF0047" w:rsidRPr="00775E95" w:rsidRDefault="003C456B" w:rsidP="003C456B">
      <w:pPr>
        <w:pStyle w:val="Reference"/>
      </w:pPr>
      <w:bookmarkStart w:id="7" w:name="_Ref162896184"/>
      <w:r w:rsidRPr="004F55F1">
        <w:t>R1-2400303</w:t>
      </w:r>
      <w:r>
        <w:t xml:space="preserve">, </w:t>
      </w:r>
      <w:r w:rsidRPr="009E5B17">
        <w:t>Discussion on NR NTN Downlink coverage enhancements</w:t>
      </w:r>
      <w:r>
        <w:t>, Thales</w:t>
      </w:r>
      <w:bookmarkEnd w:id="7"/>
    </w:p>
    <w:sectPr w:rsidR="00AF0047"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EABF7" w14:textId="77777777" w:rsidR="00B703B9" w:rsidRDefault="00B703B9">
      <w:r>
        <w:separator/>
      </w:r>
    </w:p>
  </w:endnote>
  <w:endnote w:type="continuationSeparator" w:id="0">
    <w:p w14:paraId="4359F948" w14:textId="77777777" w:rsidR="00B703B9" w:rsidRDefault="00B7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AB1BA" w14:textId="77777777" w:rsidR="00B703B9" w:rsidRDefault="00B703B9">
      <w:r>
        <w:separator/>
      </w:r>
    </w:p>
  </w:footnote>
  <w:footnote w:type="continuationSeparator" w:id="0">
    <w:p w14:paraId="6623C1DB" w14:textId="77777777" w:rsidR="00B703B9" w:rsidRDefault="00B7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6"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0"/>
  </w:num>
  <w:num w:numId="5">
    <w:abstractNumId w:val="20"/>
  </w:num>
  <w:num w:numId="6">
    <w:abstractNumId w:val="0"/>
  </w:num>
  <w:num w:numId="7">
    <w:abstractNumId w:val="4"/>
  </w:num>
  <w:num w:numId="8">
    <w:abstractNumId w:val="16"/>
  </w:num>
  <w:num w:numId="9">
    <w:abstractNumId w:val="24"/>
  </w:num>
  <w:num w:numId="10">
    <w:abstractNumId w:val="14"/>
  </w:num>
  <w:num w:numId="11">
    <w:abstractNumId w:val="13"/>
  </w:num>
  <w:num w:numId="12">
    <w:abstractNumId w:val="11"/>
  </w:num>
  <w:num w:numId="13">
    <w:abstractNumId w:val="15"/>
  </w:num>
  <w:num w:numId="14">
    <w:abstractNumId w:val="17"/>
  </w:num>
  <w:num w:numId="15">
    <w:abstractNumId w:val="21"/>
  </w:num>
  <w:num w:numId="16">
    <w:abstractNumId w:val="5"/>
  </w:num>
  <w:num w:numId="17">
    <w:abstractNumId w:val="3"/>
  </w:num>
  <w:num w:numId="18">
    <w:abstractNumId w:val="14"/>
  </w:num>
  <w:num w:numId="19">
    <w:abstractNumId w:val="7"/>
  </w:num>
  <w:num w:numId="20">
    <w:abstractNumId w:val="26"/>
  </w:num>
  <w:num w:numId="21">
    <w:abstractNumId w:val="19"/>
  </w:num>
  <w:num w:numId="22">
    <w:abstractNumId w:val="23"/>
  </w:num>
  <w:num w:numId="23">
    <w:abstractNumId w:val="6"/>
  </w:num>
  <w:num w:numId="24">
    <w:abstractNumId w:val="1"/>
  </w:num>
  <w:num w:numId="25">
    <w:abstractNumId w:val="2"/>
  </w:num>
  <w:num w:numId="26">
    <w:abstractNumId w:val="22"/>
  </w:num>
  <w:num w:numId="27">
    <w:abstractNumId w:val="12"/>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15A37"/>
    <w:rsid w:val="00031DF9"/>
    <w:rsid w:val="00032900"/>
    <w:rsid w:val="00032AAD"/>
    <w:rsid w:val="00035469"/>
    <w:rsid w:val="00036825"/>
    <w:rsid w:val="000407C6"/>
    <w:rsid w:val="0004772C"/>
    <w:rsid w:val="00050852"/>
    <w:rsid w:val="00061B39"/>
    <w:rsid w:val="00061C65"/>
    <w:rsid w:val="00061C72"/>
    <w:rsid w:val="000640A7"/>
    <w:rsid w:val="00070911"/>
    <w:rsid w:val="000721F1"/>
    <w:rsid w:val="0007342E"/>
    <w:rsid w:val="00074099"/>
    <w:rsid w:val="00074860"/>
    <w:rsid w:val="000835BC"/>
    <w:rsid w:val="00091CF8"/>
    <w:rsid w:val="00091E9D"/>
    <w:rsid w:val="000924E1"/>
    <w:rsid w:val="0009724E"/>
    <w:rsid w:val="00097A25"/>
    <w:rsid w:val="000A1DBF"/>
    <w:rsid w:val="000A5038"/>
    <w:rsid w:val="000A55FC"/>
    <w:rsid w:val="000A7428"/>
    <w:rsid w:val="000B6189"/>
    <w:rsid w:val="000B667E"/>
    <w:rsid w:val="000C0C60"/>
    <w:rsid w:val="000C434E"/>
    <w:rsid w:val="000D5F49"/>
    <w:rsid w:val="000F203A"/>
    <w:rsid w:val="000F755F"/>
    <w:rsid w:val="00103621"/>
    <w:rsid w:val="0010695B"/>
    <w:rsid w:val="0012175A"/>
    <w:rsid w:val="00126871"/>
    <w:rsid w:val="00126F7D"/>
    <w:rsid w:val="001302E8"/>
    <w:rsid w:val="00130C5E"/>
    <w:rsid w:val="00142D84"/>
    <w:rsid w:val="001464F7"/>
    <w:rsid w:val="00152B8F"/>
    <w:rsid w:val="00162BB3"/>
    <w:rsid w:val="00162F8E"/>
    <w:rsid w:val="00166684"/>
    <w:rsid w:val="001678EA"/>
    <w:rsid w:val="0017501F"/>
    <w:rsid w:val="00182E6F"/>
    <w:rsid w:val="00197682"/>
    <w:rsid w:val="001B01E1"/>
    <w:rsid w:val="001B75B4"/>
    <w:rsid w:val="001B7CBB"/>
    <w:rsid w:val="001D3CBB"/>
    <w:rsid w:val="001D3EF1"/>
    <w:rsid w:val="001D6BD2"/>
    <w:rsid w:val="001D7A35"/>
    <w:rsid w:val="001E7184"/>
    <w:rsid w:val="001F3A7D"/>
    <w:rsid w:val="001F411A"/>
    <w:rsid w:val="001F685C"/>
    <w:rsid w:val="002027EF"/>
    <w:rsid w:val="002106B1"/>
    <w:rsid w:val="00212C6A"/>
    <w:rsid w:val="00213C01"/>
    <w:rsid w:val="00220505"/>
    <w:rsid w:val="00222D14"/>
    <w:rsid w:val="002242F4"/>
    <w:rsid w:val="0022514C"/>
    <w:rsid w:val="002339D4"/>
    <w:rsid w:val="002357EF"/>
    <w:rsid w:val="002469D2"/>
    <w:rsid w:val="002478E0"/>
    <w:rsid w:val="0025674E"/>
    <w:rsid w:val="0026693D"/>
    <w:rsid w:val="00270EE1"/>
    <w:rsid w:val="00281E0D"/>
    <w:rsid w:val="00287697"/>
    <w:rsid w:val="00292F37"/>
    <w:rsid w:val="00295AA4"/>
    <w:rsid w:val="002A0EF4"/>
    <w:rsid w:val="002A3C41"/>
    <w:rsid w:val="002B1389"/>
    <w:rsid w:val="002B5616"/>
    <w:rsid w:val="002B5847"/>
    <w:rsid w:val="002B6534"/>
    <w:rsid w:val="002B79D1"/>
    <w:rsid w:val="002C4527"/>
    <w:rsid w:val="002C54DF"/>
    <w:rsid w:val="002C5E30"/>
    <w:rsid w:val="002D0D93"/>
    <w:rsid w:val="002D1932"/>
    <w:rsid w:val="002E4742"/>
    <w:rsid w:val="002F066C"/>
    <w:rsid w:val="002F4783"/>
    <w:rsid w:val="0030221C"/>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772E1"/>
    <w:rsid w:val="00384B3B"/>
    <w:rsid w:val="00385900"/>
    <w:rsid w:val="00393032"/>
    <w:rsid w:val="003968A7"/>
    <w:rsid w:val="003A1D28"/>
    <w:rsid w:val="003A29D2"/>
    <w:rsid w:val="003B0499"/>
    <w:rsid w:val="003B2658"/>
    <w:rsid w:val="003B304B"/>
    <w:rsid w:val="003B3881"/>
    <w:rsid w:val="003B48F5"/>
    <w:rsid w:val="003C08DD"/>
    <w:rsid w:val="003C2F6A"/>
    <w:rsid w:val="003C456B"/>
    <w:rsid w:val="003C4EA3"/>
    <w:rsid w:val="003C7300"/>
    <w:rsid w:val="003C74F8"/>
    <w:rsid w:val="003D31CD"/>
    <w:rsid w:val="003D40AE"/>
    <w:rsid w:val="003E1228"/>
    <w:rsid w:val="003F07F5"/>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77906"/>
    <w:rsid w:val="004809D6"/>
    <w:rsid w:val="00481B3E"/>
    <w:rsid w:val="004833FF"/>
    <w:rsid w:val="00487278"/>
    <w:rsid w:val="00487EFB"/>
    <w:rsid w:val="00490030"/>
    <w:rsid w:val="0049043E"/>
    <w:rsid w:val="00495BA3"/>
    <w:rsid w:val="00496347"/>
    <w:rsid w:val="00496730"/>
    <w:rsid w:val="004A0AC3"/>
    <w:rsid w:val="004A147E"/>
    <w:rsid w:val="004A32E7"/>
    <w:rsid w:val="004B2E2A"/>
    <w:rsid w:val="004B57D9"/>
    <w:rsid w:val="004B70D7"/>
    <w:rsid w:val="004C4854"/>
    <w:rsid w:val="004C76C7"/>
    <w:rsid w:val="004E12CF"/>
    <w:rsid w:val="004F0A0E"/>
    <w:rsid w:val="004F1E08"/>
    <w:rsid w:val="00500576"/>
    <w:rsid w:val="00505B54"/>
    <w:rsid w:val="00506DCF"/>
    <w:rsid w:val="00507D43"/>
    <w:rsid w:val="00512463"/>
    <w:rsid w:val="00513050"/>
    <w:rsid w:val="005158A6"/>
    <w:rsid w:val="00515A23"/>
    <w:rsid w:val="00520E8A"/>
    <w:rsid w:val="0052233A"/>
    <w:rsid w:val="00522F78"/>
    <w:rsid w:val="00523189"/>
    <w:rsid w:val="00523418"/>
    <w:rsid w:val="00524F7E"/>
    <w:rsid w:val="005255F2"/>
    <w:rsid w:val="00526778"/>
    <w:rsid w:val="00526BED"/>
    <w:rsid w:val="00534911"/>
    <w:rsid w:val="005375E1"/>
    <w:rsid w:val="00542515"/>
    <w:rsid w:val="00551226"/>
    <w:rsid w:val="005528F2"/>
    <w:rsid w:val="0056093B"/>
    <w:rsid w:val="00561625"/>
    <w:rsid w:val="005772F8"/>
    <w:rsid w:val="00582735"/>
    <w:rsid w:val="0058419D"/>
    <w:rsid w:val="005907D5"/>
    <w:rsid w:val="005A1FCF"/>
    <w:rsid w:val="005A277F"/>
    <w:rsid w:val="005A52EB"/>
    <w:rsid w:val="005A6972"/>
    <w:rsid w:val="005B24D1"/>
    <w:rsid w:val="005B36D9"/>
    <w:rsid w:val="005B39BF"/>
    <w:rsid w:val="005B4075"/>
    <w:rsid w:val="005C4258"/>
    <w:rsid w:val="005D43A4"/>
    <w:rsid w:val="005D5905"/>
    <w:rsid w:val="005E216D"/>
    <w:rsid w:val="005E3E19"/>
    <w:rsid w:val="005F4383"/>
    <w:rsid w:val="005F4B04"/>
    <w:rsid w:val="005F6C7E"/>
    <w:rsid w:val="00601B5F"/>
    <w:rsid w:val="00613DB7"/>
    <w:rsid w:val="0062474C"/>
    <w:rsid w:val="00634265"/>
    <w:rsid w:val="006347EA"/>
    <w:rsid w:val="0063556E"/>
    <w:rsid w:val="00640E93"/>
    <w:rsid w:val="0065430F"/>
    <w:rsid w:val="0065572F"/>
    <w:rsid w:val="00655F5A"/>
    <w:rsid w:val="0065791B"/>
    <w:rsid w:val="00662C39"/>
    <w:rsid w:val="0067248E"/>
    <w:rsid w:val="00674057"/>
    <w:rsid w:val="00687237"/>
    <w:rsid w:val="006A2D89"/>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3E72"/>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0FD4"/>
    <w:rsid w:val="00772B8E"/>
    <w:rsid w:val="007738AF"/>
    <w:rsid w:val="00775BB5"/>
    <w:rsid w:val="00775D45"/>
    <w:rsid w:val="00775E95"/>
    <w:rsid w:val="00780144"/>
    <w:rsid w:val="007813DD"/>
    <w:rsid w:val="007907E2"/>
    <w:rsid w:val="007909F4"/>
    <w:rsid w:val="00792E5C"/>
    <w:rsid w:val="00792F79"/>
    <w:rsid w:val="00794E57"/>
    <w:rsid w:val="007A2D4B"/>
    <w:rsid w:val="007A482B"/>
    <w:rsid w:val="007A6695"/>
    <w:rsid w:val="007B2E92"/>
    <w:rsid w:val="007C2970"/>
    <w:rsid w:val="007C3721"/>
    <w:rsid w:val="007C67FA"/>
    <w:rsid w:val="007C6D7A"/>
    <w:rsid w:val="007F133C"/>
    <w:rsid w:val="007F6B62"/>
    <w:rsid w:val="0080182F"/>
    <w:rsid w:val="008031C1"/>
    <w:rsid w:val="00805AA9"/>
    <w:rsid w:val="00813DA9"/>
    <w:rsid w:val="008142D1"/>
    <w:rsid w:val="008145DC"/>
    <w:rsid w:val="00815559"/>
    <w:rsid w:val="00822D21"/>
    <w:rsid w:val="00823D15"/>
    <w:rsid w:val="0083018C"/>
    <w:rsid w:val="0083240D"/>
    <w:rsid w:val="00832BDD"/>
    <w:rsid w:val="00834BD1"/>
    <w:rsid w:val="0083745A"/>
    <w:rsid w:val="00837F63"/>
    <w:rsid w:val="0084312B"/>
    <w:rsid w:val="00846C21"/>
    <w:rsid w:val="00851173"/>
    <w:rsid w:val="008552A0"/>
    <w:rsid w:val="008570FE"/>
    <w:rsid w:val="00860ECD"/>
    <w:rsid w:val="008619AF"/>
    <w:rsid w:val="00861D8F"/>
    <w:rsid w:val="00871131"/>
    <w:rsid w:val="008732D7"/>
    <w:rsid w:val="0088558D"/>
    <w:rsid w:val="0088640C"/>
    <w:rsid w:val="00887505"/>
    <w:rsid w:val="00887E2B"/>
    <w:rsid w:val="00890A04"/>
    <w:rsid w:val="00895311"/>
    <w:rsid w:val="00895440"/>
    <w:rsid w:val="0089610E"/>
    <w:rsid w:val="0089640D"/>
    <w:rsid w:val="008971FD"/>
    <w:rsid w:val="008A0C27"/>
    <w:rsid w:val="008A1451"/>
    <w:rsid w:val="008A2EF6"/>
    <w:rsid w:val="008A5A73"/>
    <w:rsid w:val="008A679A"/>
    <w:rsid w:val="008A7343"/>
    <w:rsid w:val="008A74A9"/>
    <w:rsid w:val="008C10E9"/>
    <w:rsid w:val="008C330E"/>
    <w:rsid w:val="008D3288"/>
    <w:rsid w:val="008D4FCB"/>
    <w:rsid w:val="008E3AC1"/>
    <w:rsid w:val="008E5003"/>
    <w:rsid w:val="008F091E"/>
    <w:rsid w:val="008F7BF2"/>
    <w:rsid w:val="009010F3"/>
    <w:rsid w:val="00904D33"/>
    <w:rsid w:val="00907149"/>
    <w:rsid w:val="00910B3E"/>
    <w:rsid w:val="00915E85"/>
    <w:rsid w:val="009168E3"/>
    <w:rsid w:val="00917394"/>
    <w:rsid w:val="00921C1E"/>
    <w:rsid w:val="00922E5B"/>
    <w:rsid w:val="00932B03"/>
    <w:rsid w:val="00935091"/>
    <w:rsid w:val="00942425"/>
    <w:rsid w:val="009445B1"/>
    <w:rsid w:val="00946987"/>
    <w:rsid w:val="00950CAA"/>
    <w:rsid w:val="009626F9"/>
    <w:rsid w:val="009707AF"/>
    <w:rsid w:val="009765A9"/>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E00CC"/>
    <w:rsid w:val="009E030E"/>
    <w:rsid w:val="009E67EA"/>
    <w:rsid w:val="009F0294"/>
    <w:rsid w:val="009F31BB"/>
    <w:rsid w:val="009F5215"/>
    <w:rsid w:val="009F7CEE"/>
    <w:rsid w:val="00A018BC"/>
    <w:rsid w:val="00A02A6C"/>
    <w:rsid w:val="00A06638"/>
    <w:rsid w:val="00A06670"/>
    <w:rsid w:val="00A1171A"/>
    <w:rsid w:val="00A14551"/>
    <w:rsid w:val="00A16114"/>
    <w:rsid w:val="00A17C76"/>
    <w:rsid w:val="00A23752"/>
    <w:rsid w:val="00A35410"/>
    <w:rsid w:val="00A5182F"/>
    <w:rsid w:val="00A5545E"/>
    <w:rsid w:val="00A60EC2"/>
    <w:rsid w:val="00A62E28"/>
    <w:rsid w:val="00A63B85"/>
    <w:rsid w:val="00A7045E"/>
    <w:rsid w:val="00A70C59"/>
    <w:rsid w:val="00A71E71"/>
    <w:rsid w:val="00A73138"/>
    <w:rsid w:val="00A80525"/>
    <w:rsid w:val="00A83106"/>
    <w:rsid w:val="00A83F36"/>
    <w:rsid w:val="00A94C7E"/>
    <w:rsid w:val="00A96A96"/>
    <w:rsid w:val="00AC024C"/>
    <w:rsid w:val="00AC7565"/>
    <w:rsid w:val="00AD0291"/>
    <w:rsid w:val="00AD3731"/>
    <w:rsid w:val="00AD74BB"/>
    <w:rsid w:val="00AE6391"/>
    <w:rsid w:val="00AE7831"/>
    <w:rsid w:val="00AE7FA9"/>
    <w:rsid w:val="00AF0047"/>
    <w:rsid w:val="00AF207C"/>
    <w:rsid w:val="00AF3C9D"/>
    <w:rsid w:val="00B0166E"/>
    <w:rsid w:val="00B071A6"/>
    <w:rsid w:val="00B21A0A"/>
    <w:rsid w:val="00B34792"/>
    <w:rsid w:val="00B37293"/>
    <w:rsid w:val="00B405A4"/>
    <w:rsid w:val="00B412B9"/>
    <w:rsid w:val="00B44871"/>
    <w:rsid w:val="00B523F0"/>
    <w:rsid w:val="00B5273B"/>
    <w:rsid w:val="00B703B9"/>
    <w:rsid w:val="00B71E3E"/>
    <w:rsid w:val="00B726E8"/>
    <w:rsid w:val="00B733FE"/>
    <w:rsid w:val="00B73943"/>
    <w:rsid w:val="00B74733"/>
    <w:rsid w:val="00B87E75"/>
    <w:rsid w:val="00B9087B"/>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6808"/>
    <w:rsid w:val="00C23E24"/>
    <w:rsid w:val="00C24C4A"/>
    <w:rsid w:val="00C265D2"/>
    <w:rsid w:val="00C3325C"/>
    <w:rsid w:val="00C43281"/>
    <w:rsid w:val="00C460BA"/>
    <w:rsid w:val="00C5074F"/>
    <w:rsid w:val="00C53AFA"/>
    <w:rsid w:val="00C63C2D"/>
    <w:rsid w:val="00C726CF"/>
    <w:rsid w:val="00C72980"/>
    <w:rsid w:val="00C80C78"/>
    <w:rsid w:val="00C80DA7"/>
    <w:rsid w:val="00C849DA"/>
    <w:rsid w:val="00C86EB6"/>
    <w:rsid w:val="00C8790A"/>
    <w:rsid w:val="00C92F43"/>
    <w:rsid w:val="00C95C65"/>
    <w:rsid w:val="00CA4761"/>
    <w:rsid w:val="00CA4934"/>
    <w:rsid w:val="00CB1E60"/>
    <w:rsid w:val="00CB33A7"/>
    <w:rsid w:val="00CB3BBF"/>
    <w:rsid w:val="00CB5988"/>
    <w:rsid w:val="00CC1469"/>
    <w:rsid w:val="00CC4F4A"/>
    <w:rsid w:val="00CD2D08"/>
    <w:rsid w:val="00CE43BA"/>
    <w:rsid w:val="00CF2A31"/>
    <w:rsid w:val="00CF3EA6"/>
    <w:rsid w:val="00CF4202"/>
    <w:rsid w:val="00D03554"/>
    <w:rsid w:val="00D103BF"/>
    <w:rsid w:val="00D11A3A"/>
    <w:rsid w:val="00D12AC8"/>
    <w:rsid w:val="00D16C4C"/>
    <w:rsid w:val="00D17CA9"/>
    <w:rsid w:val="00D20FAD"/>
    <w:rsid w:val="00D23CD4"/>
    <w:rsid w:val="00D24AC7"/>
    <w:rsid w:val="00D27F0D"/>
    <w:rsid w:val="00D35898"/>
    <w:rsid w:val="00D36A8D"/>
    <w:rsid w:val="00D40786"/>
    <w:rsid w:val="00D4358A"/>
    <w:rsid w:val="00D45049"/>
    <w:rsid w:val="00D52337"/>
    <w:rsid w:val="00D5462D"/>
    <w:rsid w:val="00D60674"/>
    <w:rsid w:val="00D65131"/>
    <w:rsid w:val="00D66E38"/>
    <w:rsid w:val="00D750F4"/>
    <w:rsid w:val="00D81733"/>
    <w:rsid w:val="00D84F2B"/>
    <w:rsid w:val="00D87114"/>
    <w:rsid w:val="00D92300"/>
    <w:rsid w:val="00D9448C"/>
    <w:rsid w:val="00DA7551"/>
    <w:rsid w:val="00DC3AA1"/>
    <w:rsid w:val="00DD5FEC"/>
    <w:rsid w:val="00DD7858"/>
    <w:rsid w:val="00DE05E3"/>
    <w:rsid w:val="00DE4B65"/>
    <w:rsid w:val="00E0566F"/>
    <w:rsid w:val="00E17609"/>
    <w:rsid w:val="00E20B7E"/>
    <w:rsid w:val="00E32376"/>
    <w:rsid w:val="00E35D77"/>
    <w:rsid w:val="00E3718C"/>
    <w:rsid w:val="00E404E3"/>
    <w:rsid w:val="00E4141F"/>
    <w:rsid w:val="00E43A9B"/>
    <w:rsid w:val="00E46172"/>
    <w:rsid w:val="00E50530"/>
    <w:rsid w:val="00E51EBD"/>
    <w:rsid w:val="00E54021"/>
    <w:rsid w:val="00E6259E"/>
    <w:rsid w:val="00E63208"/>
    <w:rsid w:val="00E644D5"/>
    <w:rsid w:val="00E718C6"/>
    <w:rsid w:val="00E7730B"/>
    <w:rsid w:val="00E8018A"/>
    <w:rsid w:val="00E97CAF"/>
    <w:rsid w:val="00EA00F4"/>
    <w:rsid w:val="00EB0292"/>
    <w:rsid w:val="00EB08F9"/>
    <w:rsid w:val="00EB4FF2"/>
    <w:rsid w:val="00EB5787"/>
    <w:rsid w:val="00EC2985"/>
    <w:rsid w:val="00EC3E78"/>
    <w:rsid w:val="00ED6038"/>
    <w:rsid w:val="00EE2438"/>
    <w:rsid w:val="00EE487E"/>
    <w:rsid w:val="00EE58DB"/>
    <w:rsid w:val="00EF1FDD"/>
    <w:rsid w:val="00EF5943"/>
    <w:rsid w:val="00EF71B4"/>
    <w:rsid w:val="00F00A5C"/>
    <w:rsid w:val="00F00E8C"/>
    <w:rsid w:val="00F0130E"/>
    <w:rsid w:val="00F023ED"/>
    <w:rsid w:val="00F1055A"/>
    <w:rsid w:val="00F10EE6"/>
    <w:rsid w:val="00F15E81"/>
    <w:rsid w:val="00F207A4"/>
    <w:rsid w:val="00F253D7"/>
    <w:rsid w:val="00F30E26"/>
    <w:rsid w:val="00F32081"/>
    <w:rsid w:val="00F332EF"/>
    <w:rsid w:val="00F34CB2"/>
    <w:rsid w:val="00F37F6E"/>
    <w:rsid w:val="00F40E2A"/>
    <w:rsid w:val="00F43C87"/>
    <w:rsid w:val="00F440B7"/>
    <w:rsid w:val="00F46080"/>
    <w:rsid w:val="00F46A81"/>
    <w:rsid w:val="00F52B5A"/>
    <w:rsid w:val="00F52FDC"/>
    <w:rsid w:val="00F54A3B"/>
    <w:rsid w:val="00F6348C"/>
    <w:rsid w:val="00F640BD"/>
    <w:rsid w:val="00F738F5"/>
    <w:rsid w:val="00F73F25"/>
    <w:rsid w:val="00F81F5E"/>
    <w:rsid w:val="00F90CB2"/>
    <w:rsid w:val="00F91D6B"/>
    <w:rsid w:val="00F93410"/>
    <w:rsid w:val="00F93819"/>
    <w:rsid w:val="00F93DDA"/>
    <w:rsid w:val="00FA070B"/>
    <w:rsid w:val="00FA3D0D"/>
    <w:rsid w:val="00FB4CCE"/>
    <w:rsid w:val="00FC1C9E"/>
    <w:rsid w:val="00FD3726"/>
    <w:rsid w:val="00FD44A9"/>
    <w:rsid w:val="00FD52B5"/>
    <w:rsid w:val="00FD6EEA"/>
    <w:rsid w:val="00FE22A7"/>
    <w:rsid w:val="00FE685F"/>
    <w:rsid w:val="00FE6F6B"/>
    <w:rsid w:val="00FE7B30"/>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02E8"/>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9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character" w:styleId="aff5">
    <w:name w:val="Hyperlink"/>
    <w:qFormat/>
    <w:rsid w:val="003C456B"/>
    <w:rPr>
      <w:color w:val="0000FF"/>
      <w:u w:val="single"/>
    </w:rPr>
  </w:style>
  <w:style w:type="paragraph" w:customStyle="1" w:styleId="B1">
    <w:name w:val="B1"/>
    <w:basedOn w:val="aff6"/>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aff6">
    <w:name w:val="List"/>
    <w:basedOn w:val="a1"/>
    <w:semiHidden/>
    <w:unhideWhenUsed/>
    <w:rsid w:val="0088640C"/>
    <w:pPr>
      <w:ind w:left="200" w:hangingChars="200" w:hanging="200"/>
      <w:contextualSpacing/>
    </w:pPr>
  </w:style>
  <w:style w:type="paragraph" w:customStyle="1" w:styleId="EmailDiscussion">
    <w:name w:val="EmailDiscussion"/>
    <w:basedOn w:val="a1"/>
    <w:next w:val="a1"/>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2B21A-752C-47FB-ADD0-87D7E9B6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309</TotalTime>
  <Pages>4</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Zhenglili (Lili)</cp:lastModifiedBy>
  <cp:revision>44</cp:revision>
  <dcterms:created xsi:type="dcterms:W3CDTF">2024-07-31T06:26:00Z</dcterms:created>
  <dcterms:modified xsi:type="dcterms:W3CDTF">2024-08-09T01:29:00Z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